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EB91" w14:textId="77777777" w:rsidR="0093685A" w:rsidRDefault="00FB7815" w:rsidP="00FB7815">
      <w:pPr>
        <w:spacing w:after="14"/>
        <w:rPr>
          <w:sz w:val="2"/>
          <w:lang w:val="en-GB"/>
        </w:rPr>
      </w:pPr>
      <w:r>
        <w:rPr>
          <w:noProof/>
        </w:rPr>
        <mc:AlternateContent>
          <mc:Choice Requires="wpg">
            <w:drawing>
              <wp:anchor distT="0" distB="0" distL="114300" distR="114300" simplePos="0" relativeHeight="251658240" behindDoc="0" locked="0" layoutInCell="1" allowOverlap="1" wp14:anchorId="5F889AFC" wp14:editId="16AE8BDE">
                <wp:simplePos x="0" y="0"/>
                <wp:positionH relativeFrom="page">
                  <wp:posOffset>0</wp:posOffset>
                </wp:positionH>
                <wp:positionV relativeFrom="page">
                  <wp:posOffset>-81280</wp:posOffset>
                </wp:positionV>
                <wp:extent cx="7559040" cy="81280"/>
                <wp:effectExtent l="0" t="0" r="3810" b="0"/>
                <wp:wrapTopAndBottom/>
                <wp:docPr id="3218" name="Group 3218"/>
                <wp:cNvGraphicFramePr/>
                <a:graphic xmlns:a="http://schemas.openxmlformats.org/drawingml/2006/main">
                  <a:graphicData uri="http://schemas.microsoft.com/office/word/2010/wordprocessingGroup">
                    <wpg:wgp>
                      <wpg:cNvGrpSpPr/>
                      <wpg:grpSpPr>
                        <a:xfrm flipV="1">
                          <a:off x="0" y="0"/>
                          <a:ext cx="7559040" cy="81280"/>
                          <a:chOff x="0" y="0"/>
                          <a:chExt cx="7559040" cy="832724"/>
                        </a:xfrm>
                      </wpg:grpSpPr>
                      <pic:pic xmlns:pic="http://schemas.openxmlformats.org/drawingml/2006/picture">
                        <pic:nvPicPr>
                          <pic:cNvPr id="7" name="Picture 7"/>
                          <pic:cNvPicPr/>
                        </pic:nvPicPr>
                        <pic:blipFill>
                          <a:blip r:embed="rId8"/>
                          <a:stretch>
                            <a:fillRect/>
                          </a:stretch>
                        </pic:blipFill>
                        <pic:spPr>
                          <a:xfrm>
                            <a:off x="0" y="0"/>
                            <a:ext cx="7559040" cy="755904"/>
                          </a:xfrm>
                          <a:prstGeom prst="rect">
                            <a:avLst/>
                          </a:prstGeom>
                        </pic:spPr>
                      </pic:pic>
                      <wps:wsp>
                        <wps:cNvPr id="10" name="Rectangle 10"/>
                        <wps:cNvSpPr/>
                        <wps:spPr>
                          <a:xfrm>
                            <a:off x="1062228" y="476817"/>
                            <a:ext cx="40082" cy="180646"/>
                          </a:xfrm>
                          <a:prstGeom prst="rect">
                            <a:avLst/>
                          </a:prstGeom>
                          <a:ln>
                            <a:noFill/>
                          </a:ln>
                        </wps:spPr>
                        <wps:txbx>
                          <w:txbxContent>
                            <w:p w14:paraId="1727E7EE" w14:textId="77777777" w:rsidR="0093685A" w:rsidRDefault="00704B70">
                              <w:r>
                                <w:rPr>
                                  <w:sz w:val="21"/>
                                </w:rPr>
                                <w:t xml:space="preserve"> </w:t>
                              </w:r>
                            </w:p>
                          </w:txbxContent>
                        </wps:txbx>
                        <wps:bodyPr horzOverflow="overflow" vert="horz" lIns="0" tIns="0" rIns="0" bIns="0" rtlCol="0">
                          <a:noAutofit/>
                        </wps:bodyPr>
                      </wps:wsp>
                      <wps:wsp>
                        <wps:cNvPr id="20" name="Rectangle 20"/>
                        <wps:cNvSpPr/>
                        <wps:spPr>
                          <a:xfrm>
                            <a:off x="702564" y="652078"/>
                            <a:ext cx="40082" cy="180646"/>
                          </a:xfrm>
                          <a:prstGeom prst="rect">
                            <a:avLst/>
                          </a:prstGeom>
                          <a:ln>
                            <a:noFill/>
                          </a:ln>
                        </wps:spPr>
                        <wps:txbx>
                          <w:txbxContent>
                            <w:p w14:paraId="2A21A650" w14:textId="77777777" w:rsidR="0093685A" w:rsidRDefault="00704B70">
                              <w:r>
                                <w:rPr>
                                  <w:sz w:val="21"/>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F889AFC" id="Group 3218" o:spid="_x0000_s1026" style="position:absolute;margin-left:0;margin-top:-6.4pt;width:595.2pt;height:6.4pt;flip:y;z-index:251658240;mso-position-horizontal-relative:page;mso-position-vertical-relative:page;mso-height-relative:margin" coordsize="75590,83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0;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">
                  <v:imagedata r:id="rId9" o:title=""/>
                </v:shape>
                <v:rect id="Rectangle 10" o:spid="_x0000_s1028" style="position:absolute;left:10622;top:4768;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727E7EE" w14:textId="77777777" w:rsidR="0093685A" w:rsidRDefault="00704B70">
                        <w:r>
                          <w:rPr>
                            <w:sz w:val="21"/>
                          </w:rPr>
                          <w:t xml:space="preserve"> </w:t>
                        </w:r>
                      </w:p>
                    </w:txbxContent>
                  </v:textbox>
                </v:rect>
                <v:rect id="Rectangle 20" o:spid="_x0000_s1029" style="position:absolute;left:7025;top:6520;width:401;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A21A650" w14:textId="77777777" w:rsidR="0093685A" w:rsidRDefault="00704B70">
                        <w:r>
                          <w:rPr>
                            <w:sz w:val="21"/>
                          </w:rPr>
                          <w:t xml:space="preserve"> </w:t>
                        </w:r>
                      </w:p>
                    </w:txbxContent>
                  </v:textbox>
                </v:rect>
                <w10:wrap type="topAndBottom" anchorx="page" anchory="page"/>
              </v:group>
            </w:pict>
          </mc:Fallback>
        </mc:AlternateContent>
      </w:r>
      <w:r w:rsidR="00704B70" w:rsidRPr="00FB7815">
        <w:rPr>
          <w:color w:val="4B4CAC"/>
          <w:sz w:val="16"/>
          <w:lang w:val="en-GB"/>
        </w:rPr>
        <w:t xml:space="preserve"> </w:t>
      </w:r>
      <w:r w:rsidR="00704B70" w:rsidRPr="00FB7815">
        <w:rPr>
          <w:color w:val="4B4CAC"/>
          <w:sz w:val="16"/>
          <w:lang w:val="en-GB"/>
        </w:rPr>
        <w:tab/>
      </w:r>
      <w:r>
        <w:rPr>
          <w:color w:val="4B4CAC"/>
          <w:sz w:val="16"/>
          <w:lang w:val="en-GB"/>
        </w:rPr>
        <w:tab/>
      </w:r>
      <w:r>
        <w:rPr>
          <w:color w:val="4B4CAC"/>
          <w:sz w:val="16"/>
          <w:lang w:val="en-GB"/>
        </w:rPr>
        <w:tab/>
      </w:r>
      <w:r>
        <w:rPr>
          <w:color w:val="4B4CAC"/>
          <w:sz w:val="16"/>
          <w:lang w:val="en-GB"/>
        </w:rPr>
        <w:tab/>
      </w:r>
      <w:r>
        <w:rPr>
          <w:color w:val="4B4CAC"/>
          <w:sz w:val="16"/>
          <w:lang w:val="en-GB"/>
        </w:rPr>
        <w:tab/>
      </w:r>
      <w:r>
        <w:rPr>
          <w:color w:val="4B4CAC"/>
          <w:sz w:val="16"/>
          <w:lang w:val="en-GB"/>
        </w:rPr>
        <w:tab/>
      </w:r>
      <w:r>
        <w:rPr>
          <w:color w:val="4B4CAC"/>
          <w:sz w:val="16"/>
          <w:lang w:val="en-GB"/>
        </w:rPr>
        <w:tab/>
      </w:r>
      <w:r>
        <w:rPr>
          <w:color w:val="4B4CAC"/>
          <w:sz w:val="16"/>
          <w:lang w:val="en-GB"/>
        </w:rPr>
        <w:tab/>
      </w:r>
      <w:r w:rsidR="00704B70" w:rsidRPr="00FB7815">
        <w:rPr>
          <w:sz w:val="21"/>
          <w:lang w:val="en-GB"/>
        </w:rPr>
        <w:t xml:space="preserve"> </w:t>
      </w:r>
      <w:r w:rsidR="00704B70" w:rsidRPr="00FB7815">
        <w:rPr>
          <w:sz w:val="2"/>
          <w:lang w:val="en-GB"/>
        </w:rPr>
        <w:t xml:space="preserve"> </w:t>
      </w:r>
    </w:p>
    <w:p w14:paraId="6932EB7F" w14:textId="77777777" w:rsidR="00FB7815" w:rsidRDefault="00FB7815" w:rsidP="00FB7815">
      <w:pPr>
        <w:spacing w:after="14"/>
        <w:rPr>
          <w:lang w:val="en-GB"/>
        </w:rPr>
      </w:pPr>
    </w:p>
    <w:p w14:paraId="61814E76" w14:textId="77777777" w:rsidR="00FB7815" w:rsidRPr="00FB7815" w:rsidRDefault="00FB7815" w:rsidP="00FB7815">
      <w:pPr>
        <w:spacing w:after="14"/>
        <w:rPr>
          <w:lang w:val="en-GB"/>
        </w:rPr>
      </w:pPr>
    </w:p>
    <w:p w14:paraId="38ABF137" w14:textId="77777777" w:rsidR="002B26AC" w:rsidRPr="00B4081B" w:rsidRDefault="00704B70" w:rsidP="002B26AC">
      <w:pPr>
        <w:spacing w:after="0" w:line="216" w:lineRule="auto"/>
        <w:ind w:left="708" w:right="3931"/>
        <w:rPr>
          <w:b/>
          <w:color w:val="252525"/>
          <w:sz w:val="36"/>
          <w:szCs w:val="36"/>
          <w:lang w:val="en-GB"/>
        </w:rPr>
      </w:pPr>
      <w:r w:rsidRPr="00B4081B">
        <w:rPr>
          <w:b/>
          <w:color w:val="252525"/>
          <w:sz w:val="36"/>
          <w:szCs w:val="36"/>
          <w:lang w:val="en-GB"/>
        </w:rPr>
        <w:t xml:space="preserve">Guidelines and checklist </w:t>
      </w:r>
    </w:p>
    <w:p w14:paraId="3751977C" w14:textId="77777777" w:rsidR="0093685A" w:rsidRPr="00B4081B" w:rsidRDefault="001F43B2" w:rsidP="002B26AC">
      <w:pPr>
        <w:spacing w:after="0" w:line="216" w:lineRule="auto"/>
        <w:ind w:left="708" w:right="3931"/>
        <w:rPr>
          <w:lang w:val="en-GB"/>
        </w:rPr>
      </w:pPr>
      <w:r w:rsidRPr="00B4081B">
        <w:rPr>
          <w:b/>
          <w:color w:val="252525"/>
          <w:sz w:val="36"/>
          <w:szCs w:val="36"/>
          <w:lang w:val="en-GB"/>
        </w:rPr>
        <w:t>Midterm</w:t>
      </w:r>
      <w:r w:rsidR="00704B70" w:rsidRPr="00B4081B">
        <w:rPr>
          <w:b/>
          <w:color w:val="252525"/>
          <w:sz w:val="36"/>
          <w:szCs w:val="36"/>
          <w:lang w:val="en-GB"/>
        </w:rPr>
        <w:t xml:space="preserve"> </w:t>
      </w:r>
      <w:r w:rsidR="00FB7815" w:rsidRPr="00B4081B">
        <w:rPr>
          <w:b/>
          <w:color w:val="252525"/>
          <w:sz w:val="36"/>
          <w:szCs w:val="36"/>
          <w:lang w:val="en-GB"/>
        </w:rPr>
        <w:t>e</w:t>
      </w:r>
      <w:r w:rsidR="00704B70" w:rsidRPr="00B4081B">
        <w:rPr>
          <w:b/>
          <w:color w:val="252525"/>
          <w:sz w:val="36"/>
          <w:szCs w:val="36"/>
          <w:lang w:val="en-GB"/>
        </w:rPr>
        <w:t xml:space="preserve">valuation </w:t>
      </w:r>
      <w:r w:rsidR="00FB7815" w:rsidRPr="00B4081B">
        <w:rPr>
          <w:b/>
          <w:color w:val="252525"/>
          <w:sz w:val="36"/>
          <w:szCs w:val="36"/>
          <w:lang w:val="en-GB"/>
        </w:rPr>
        <w:t xml:space="preserve">in PhD </w:t>
      </w:r>
      <w:r w:rsidR="002B26AC" w:rsidRPr="00B4081B">
        <w:rPr>
          <w:b/>
          <w:color w:val="252525"/>
          <w:sz w:val="36"/>
          <w:szCs w:val="36"/>
          <w:lang w:val="en-GB"/>
        </w:rPr>
        <w:t>p</w:t>
      </w:r>
      <w:r w:rsidR="00FB7815" w:rsidRPr="00B4081B">
        <w:rPr>
          <w:b/>
          <w:color w:val="252525"/>
          <w:sz w:val="36"/>
          <w:szCs w:val="36"/>
          <w:lang w:val="en-GB"/>
        </w:rPr>
        <w:t>rogramme Person-Centred Healthcare</w:t>
      </w:r>
      <w:r w:rsidR="00704B70" w:rsidRPr="00B4081B">
        <w:rPr>
          <w:color w:val="3AAEA1"/>
          <w:sz w:val="21"/>
          <w:lang w:val="en-GB"/>
        </w:rPr>
        <w:t xml:space="preserve"> </w:t>
      </w:r>
    </w:p>
    <w:p w14:paraId="502D34FB" w14:textId="77777777" w:rsidR="0093685A" w:rsidRPr="00B4081B" w:rsidRDefault="00704B70" w:rsidP="00FB7815">
      <w:pPr>
        <w:spacing w:after="0"/>
        <w:rPr>
          <w:lang w:val="en-GB"/>
        </w:rPr>
      </w:pPr>
      <w:r w:rsidRPr="00B4081B">
        <w:rPr>
          <w:noProof/>
          <w:lang w:val="en-GB"/>
        </w:rPr>
        <mc:AlternateContent>
          <mc:Choice Requires="wpg">
            <w:drawing>
              <wp:inline distT="0" distB="0" distL="0" distR="0" wp14:anchorId="413880B7" wp14:editId="2FAEC7BF">
                <wp:extent cx="6288786" cy="6097"/>
                <wp:effectExtent l="0" t="0" r="0" b="0"/>
                <wp:docPr id="3219" name="Group 3219"/>
                <wp:cNvGraphicFramePr/>
                <a:graphic xmlns:a="http://schemas.openxmlformats.org/drawingml/2006/main">
                  <a:graphicData uri="http://schemas.microsoft.com/office/word/2010/wordprocessingGroup">
                    <wpg:wgp>
                      <wpg:cNvGrpSpPr/>
                      <wpg:grpSpPr>
                        <a:xfrm>
                          <a:off x="0" y="0"/>
                          <a:ext cx="6288786" cy="6097"/>
                          <a:chOff x="0" y="0"/>
                          <a:chExt cx="6288786" cy="6097"/>
                        </a:xfrm>
                      </wpg:grpSpPr>
                      <wps:wsp>
                        <wps:cNvPr id="3696" name="Shape 3696"/>
                        <wps:cNvSpPr/>
                        <wps:spPr>
                          <a:xfrm>
                            <a:off x="0" y="0"/>
                            <a:ext cx="3523488" cy="9144"/>
                          </a:xfrm>
                          <a:custGeom>
                            <a:avLst/>
                            <a:gdLst/>
                            <a:ahLst/>
                            <a:cxnLst/>
                            <a:rect l="0" t="0" r="0" b="0"/>
                            <a:pathLst>
                              <a:path w="3523488" h="9144">
                                <a:moveTo>
                                  <a:pt x="0" y="0"/>
                                </a:moveTo>
                                <a:lnTo>
                                  <a:pt x="3523488" y="0"/>
                                </a:lnTo>
                                <a:lnTo>
                                  <a:pt x="3523488" y="9144"/>
                                </a:lnTo>
                                <a:lnTo>
                                  <a:pt x="0" y="9144"/>
                                </a:lnTo>
                                <a:lnTo>
                                  <a:pt x="0" y="0"/>
                                </a:lnTo>
                              </a:path>
                            </a:pathLst>
                          </a:custGeom>
                          <a:ln w="0" cap="flat">
                            <a:miter lim="127000"/>
                          </a:ln>
                        </wps:spPr>
                        <wps:style>
                          <a:lnRef idx="0">
                            <a:srgbClr val="000000">
                              <a:alpha val="0"/>
                            </a:srgbClr>
                          </a:lnRef>
                          <a:fillRef idx="1">
                            <a:srgbClr val="4B4CAC"/>
                          </a:fillRef>
                          <a:effectRef idx="0">
                            <a:scrgbClr r="0" g="0" b="0"/>
                          </a:effectRef>
                          <a:fontRef idx="none"/>
                        </wps:style>
                        <wps:bodyPr/>
                      </wps:wsp>
                      <wps:wsp>
                        <wps:cNvPr id="3697" name="Shape 3697"/>
                        <wps:cNvSpPr/>
                        <wps:spPr>
                          <a:xfrm>
                            <a:off x="3514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B4CAC"/>
                          </a:fillRef>
                          <a:effectRef idx="0">
                            <a:scrgbClr r="0" g="0" b="0"/>
                          </a:effectRef>
                          <a:fontRef idx="none"/>
                        </wps:style>
                        <wps:bodyPr/>
                      </wps:wsp>
                      <wps:wsp>
                        <wps:cNvPr id="3698" name="Shape 3698"/>
                        <wps:cNvSpPr/>
                        <wps:spPr>
                          <a:xfrm>
                            <a:off x="3520440" y="0"/>
                            <a:ext cx="2768346" cy="9144"/>
                          </a:xfrm>
                          <a:custGeom>
                            <a:avLst/>
                            <a:gdLst/>
                            <a:ahLst/>
                            <a:cxnLst/>
                            <a:rect l="0" t="0" r="0" b="0"/>
                            <a:pathLst>
                              <a:path w="2768346" h="9144">
                                <a:moveTo>
                                  <a:pt x="0" y="0"/>
                                </a:moveTo>
                                <a:lnTo>
                                  <a:pt x="2768346" y="0"/>
                                </a:lnTo>
                                <a:lnTo>
                                  <a:pt x="2768346" y="9144"/>
                                </a:lnTo>
                                <a:lnTo>
                                  <a:pt x="0" y="9144"/>
                                </a:lnTo>
                                <a:lnTo>
                                  <a:pt x="0" y="0"/>
                                </a:lnTo>
                              </a:path>
                            </a:pathLst>
                          </a:custGeom>
                          <a:ln w="0" cap="flat">
                            <a:miter lim="127000"/>
                          </a:ln>
                        </wps:spPr>
                        <wps:style>
                          <a:lnRef idx="0">
                            <a:srgbClr val="000000">
                              <a:alpha val="0"/>
                            </a:srgbClr>
                          </a:lnRef>
                          <a:fillRef idx="1">
                            <a:srgbClr val="4B4CAC"/>
                          </a:fillRef>
                          <a:effectRef idx="0">
                            <a:scrgbClr r="0" g="0" b="0"/>
                          </a:effectRef>
                          <a:fontRef idx="none"/>
                        </wps:style>
                        <wps:bodyPr/>
                      </wps:wsp>
                    </wpg:wgp>
                  </a:graphicData>
                </a:graphic>
              </wp:inline>
            </w:drawing>
          </mc:Choice>
          <mc:Fallback>
            <w:pict>
              <v:group w14:anchorId="49183738" id="Group 3219" o:spid="_x0000_s1026" style="width:495.2pt;height:.5pt;mso-position-horizontal-relative:char;mso-position-vertical-relative:line" coordsize="62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">
                <v:shape id="Shape 3696" o:spid="_x0000_s1027" style="position:absolute;width:35234;height:91;visibility:visible;mso-wrap-style:square;v-text-anchor:top" coordsize="3523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" path="m,l3523488,r,9144l,9144,,e" fillcolor="#4b4cac" stroked="f" strokeweight="0">
                  <v:stroke miterlimit="83231f" joinstyle="miter"/>
                  <v:path arrowok="t" textboxrect="0,0,3523488,9144"/>
                </v:shape>
                <v:shape id="Shape 3697" o:spid="_x0000_s1028" style="position:absolute;left:351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" path="m,l9144,r,9144l,9144,,e" fillcolor="#4b4cac" stroked="f" strokeweight="0">
                  <v:stroke miterlimit="83231f" joinstyle="miter"/>
                  <v:path arrowok="t" textboxrect="0,0,9144,9144"/>
                </v:shape>
                <v:shape id="Shape 3698" o:spid="_x0000_s1029" style="position:absolute;left:35204;width:27683;height:91;visibility:visible;mso-wrap-style:square;v-text-anchor:top" coordsize="2768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" path="m,l2768346,r,9144l,9144,,e" fillcolor="#4b4cac" stroked="f" strokeweight="0">
                  <v:stroke miterlimit="83231f" joinstyle="miter"/>
                  <v:path arrowok="t" textboxrect="0,0,2768346,9144"/>
                </v:shape>
                <w10:anchorlock/>
              </v:group>
            </w:pict>
          </mc:Fallback>
        </mc:AlternateContent>
      </w:r>
    </w:p>
    <w:p w14:paraId="71565F37" w14:textId="77777777" w:rsidR="0093685A" w:rsidRPr="00B4081B" w:rsidRDefault="00704B70">
      <w:pPr>
        <w:spacing w:after="0"/>
        <w:ind w:left="566"/>
        <w:rPr>
          <w:lang w:val="en-GB"/>
        </w:rPr>
      </w:pPr>
      <w:r w:rsidRPr="00B4081B">
        <w:rPr>
          <w:rFonts w:ascii="Times New Roman" w:eastAsia="Times New Roman" w:hAnsi="Times New Roman" w:cs="Times New Roman"/>
          <w:b/>
          <w:color w:val="252525"/>
          <w:sz w:val="28"/>
          <w:lang w:val="en-GB"/>
        </w:rPr>
        <w:t xml:space="preserve"> </w:t>
      </w:r>
    </w:p>
    <w:p w14:paraId="198FBF9D" w14:textId="3AF5F717" w:rsidR="0093685A" w:rsidRPr="00B4081B" w:rsidRDefault="00704B70">
      <w:pPr>
        <w:spacing w:after="0" w:line="263" w:lineRule="auto"/>
        <w:ind w:left="566"/>
        <w:rPr>
          <w:sz w:val="21"/>
          <w:lang w:val="en-GB"/>
        </w:rPr>
      </w:pPr>
      <w:r w:rsidRPr="00B4081B">
        <w:rPr>
          <w:sz w:val="21"/>
          <w:lang w:val="en-GB"/>
        </w:rPr>
        <w:t xml:space="preserve">These Guidelines </w:t>
      </w:r>
      <w:r w:rsidR="007814CA" w:rsidRPr="00B4081B">
        <w:rPr>
          <w:color w:val="auto"/>
          <w:sz w:val="21"/>
          <w:lang w:val="en-GB"/>
        </w:rPr>
        <w:t>are</w:t>
      </w:r>
      <w:r w:rsidRPr="00B4081B">
        <w:rPr>
          <w:sz w:val="21"/>
          <w:lang w:val="en-GB"/>
        </w:rPr>
        <w:t xml:space="preserve"> approved by the Dean at Faculty of Health </w:t>
      </w:r>
      <w:r w:rsidR="00FB7815" w:rsidRPr="00B4081B">
        <w:rPr>
          <w:sz w:val="21"/>
          <w:lang w:val="en-GB"/>
        </w:rPr>
        <w:t xml:space="preserve">and Social </w:t>
      </w:r>
      <w:r w:rsidRPr="00B4081B">
        <w:rPr>
          <w:sz w:val="21"/>
          <w:lang w:val="en-GB"/>
        </w:rPr>
        <w:t>Sciences</w:t>
      </w:r>
      <w:r w:rsidR="00B4081B" w:rsidRPr="00B4081B">
        <w:rPr>
          <w:sz w:val="21"/>
          <w:lang w:val="en-GB"/>
        </w:rPr>
        <w:t xml:space="preserve"> March 1. 2022</w:t>
      </w:r>
      <w:r w:rsidRPr="00B4081B">
        <w:rPr>
          <w:sz w:val="21"/>
          <w:lang w:val="en-GB"/>
        </w:rPr>
        <w:t xml:space="preserve"> and </w:t>
      </w:r>
      <w:r w:rsidR="00B4081B" w:rsidRPr="00B4081B">
        <w:rPr>
          <w:sz w:val="21"/>
          <w:lang w:val="en-GB"/>
        </w:rPr>
        <w:t>relate</w:t>
      </w:r>
      <w:r w:rsidRPr="00B4081B">
        <w:rPr>
          <w:sz w:val="21"/>
          <w:lang w:val="en-GB"/>
        </w:rPr>
        <w:t xml:space="preserve"> to Regulations of the degree Philosophiae Doctor (PhD) at USN. </w:t>
      </w:r>
    </w:p>
    <w:p w14:paraId="08514FAB" w14:textId="5402BA01" w:rsidR="007A28D9" w:rsidRDefault="00BE3532" w:rsidP="00F452CD">
      <w:pPr>
        <w:spacing w:after="0" w:line="263" w:lineRule="auto"/>
        <w:ind w:left="566"/>
        <w:rPr>
          <w:lang w:val="en-GB"/>
        </w:rPr>
      </w:pPr>
      <w:hyperlink r:id="rId10" w:history="1">
        <w:r w:rsidR="00EE716F" w:rsidRPr="00B4081B">
          <w:rPr>
            <w:rStyle w:val="Hyperkobling"/>
            <w:lang w:val="en-GB"/>
          </w:rPr>
          <w:t>https://lovdata.no/forskrift/2017-12-14-2411/§3-8</w:t>
        </w:r>
      </w:hyperlink>
      <w:r w:rsidR="00F452CD">
        <w:rPr>
          <w:rStyle w:val="Hyperkobling"/>
          <w:lang w:val="en-GB"/>
        </w:rPr>
        <w:t xml:space="preserve"> (</w:t>
      </w:r>
      <w:r w:rsidR="00F452CD" w:rsidRPr="00F452CD">
        <w:rPr>
          <w:rStyle w:val="Hyperkobling"/>
          <w:lang w:val="en-GB"/>
        </w:rPr>
        <w:t>Section 3-8.</w:t>
      </w:r>
      <w:r w:rsidR="00F452CD">
        <w:rPr>
          <w:rStyle w:val="Hyperkobling"/>
          <w:lang w:val="en-GB"/>
        </w:rPr>
        <w:t>)</w:t>
      </w:r>
    </w:p>
    <w:p w14:paraId="07A696C7" w14:textId="77777777" w:rsidR="00F452CD" w:rsidRPr="00F452CD" w:rsidRDefault="00F452CD" w:rsidP="00F452CD">
      <w:pPr>
        <w:spacing w:after="0" w:line="263" w:lineRule="auto"/>
        <w:ind w:left="566"/>
        <w:rPr>
          <w:lang w:val="en-GB"/>
        </w:rPr>
      </w:pPr>
    </w:p>
    <w:p w14:paraId="26DE5AFD" w14:textId="23C4E709" w:rsidR="007A28D9" w:rsidRPr="00E24D80" w:rsidRDefault="007A28D9" w:rsidP="007A28D9">
      <w:pPr>
        <w:pStyle w:val="Listeavsnitt"/>
        <w:numPr>
          <w:ilvl w:val="0"/>
          <w:numId w:val="5"/>
        </w:numPr>
        <w:spacing w:after="0"/>
        <w:rPr>
          <w:iCs/>
          <w:sz w:val="21"/>
          <w:lang w:val="en-US"/>
        </w:rPr>
      </w:pPr>
      <w:r w:rsidRPr="00E24D80">
        <w:rPr>
          <w:iCs/>
          <w:sz w:val="21"/>
          <w:lang w:val="en-US"/>
        </w:rPr>
        <w:t xml:space="preserve">A </w:t>
      </w:r>
      <w:r w:rsidR="00E24D80" w:rsidRPr="00E24D80">
        <w:rPr>
          <w:iCs/>
          <w:sz w:val="21"/>
          <w:lang w:val="en-US"/>
        </w:rPr>
        <w:t>midterm evaluation</w:t>
      </w:r>
      <w:r w:rsidRPr="00E24D80">
        <w:rPr>
          <w:iCs/>
          <w:sz w:val="21"/>
          <w:lang w:val="en-US"/>
        </w:rPr>
        <w:t xml:space="preserve"> of the PhD work shall be conducted, normally in the third or fourth semester.  The PhD candidate shall present their work and be assessed by a group of at least two people appointed by the programme committee. The evaluation shall assess the academic status and progress of the PhD work and provide feedback to the PhD candidate, supervisor and programme committee.</w:t>
      </w:r>
    </w:p>
    <w:p w14:paraId="74359189" w14:textId="02F6E9DB" w:rsidR="007A28D9" w:rsidRPr="00E24D80" w:rsidRDefault="007A28D9" w:rsidP="007A28D9">
      <w:pPr>
        <w:pStyle w:val="Listeavsnitt"/>
        <w:numPr>
          <w:ilvl w:val="0"/>
          <w:numId w:val="5"/>
        </w:numPr>
        <w:spacing w:after="0"/>
        <w:rPr>
          <w:iCs/>
          <w:sz w:val="21"/>
          <w:lang w:val="en-US"/>
        </w:rPr>
      </w:pPr>
      <w:r w:rsidRPr="00E24D80">
        <w:rPr>
          <w:iCs/>
          <w:sz w:val="21"/>
          <w:lang w:val="en-US"/>
        </w:rPr>
        <w:t xml:space="preserve">The primary purpose of the </w:t>
      </w:r>
      <w:r w:rsidR="00E24D80" w:rsidRPr="00E24D80">
        <w:rPr>
          <w:iCs/>
          <w:sz w:val="21"/>
          <w:lang w:val="en-US"/>
        </w:rPr>
        <w:t>midterm evaluation</w:t>
      </w:r>
      <w:r w:rsidRPr="00E24D80">
        <w:rPr>
          <w:iCs/>
          <w:sz w:val="21"/>
          <w:lang w:val="en-US"/>
        </w:rPr>
        <w:t xml:space="preserve">, like the annual reporting, is to help PhD candidates identify factors that entail a risk to the project in the form of obstacles or delays, as well as to provide input which may improve the quality of the work. The programme committee, supervisors and PhD candidate have a duty to actively follow up circumstances that may result in delay or failure to complete the PhD </w:t>
      </w:r>
      <w:r w:rsidR="007028EF">
        <w:rPr>
          <w:iCs/>
          <w:sz w:val="21"/>
          <w:lang w:val="en-US"/>
        </w:rPr>
        <w:t>work</w:t>
      </w:r>
      <w:r w:rsidRPr="00E24D80">
        <w:rPr>
          <w:iCs/>
          <w:sz w:val="21"/>
          <w:lang w:val="en-US"/>
        </w:rPr>
        <w:t xml:space="preserve"> so that, to the extent possible, the </w:t>
      </w:r>
      <w:r w:rsidR="007028EF">
        <w:rPr>
          <w:iCs/>
          <w:sz w:val="21"/>
          <w:lang w:val="en-US"/>
        </w:rPr>
        <w:t>work</w:t>
      </w:r>
      <w:r w:rsidRPr="00E24D80">
        <w:rPr>
          <w:iCs/>
          <w:sz w:val="21"/>
          <w:lang w:val="en-US"/>
        </w:rPr>
        <w:t xml:space="preserve"> can be completed within the standard time frame.</w:t>
      </w:r>
    </w:p>
    <w:p w14:paraId="054AA925" w14:textId="6D71BE6F" w:rsidR="007A28D9" w:rsidRPr="00E24D80" w:rsidRDefault="007A28D9" w:rsidP="007A28D9">
      <w:pPr>
        <w:pStyle w:val="Listeavsnitt"/>
        <w:numPr>
          <w:ilvl w:val="0"/>
          <w:numId w:val="5"/>
        </w:numPr>
        <w:spacing w:after="0"/>
        <w:rPr>
          <w:iCs/>
          <w:sz w:val="21"/>
          <w:lang w:val="en-US"/>
        </w:rPr>
      </w:pPr>
      <w:r w:rsidRPr="00E24D80">
        <w:rPr>
          <w:iCs/>
          <w:sz w:val="21"/>
          <w:lang w:val="en-US"/>
        </w:rPr>
        <w:t xml:space="preserve">If the </w:t>
      </w:r>
      <w:r w:rsidR="00E24D80" w:rsidRPr="00E24D80">
        <w:rPr>
          <w:iCs/>
          <w:sz w:val="21"/>
          <w:lang w:val="en-US"/>
        </w:rPr>
        <w:t>midterm evaluation</w:t>
      </w:r>
      <w:r w:rsidRPr="00E24D80">
        <w:rPr>
          <w:iCs/>
          <w:sz w:val="21"/>
          <w:lang w:val="en-US"/>
        </w:rPr>
        <w:t xml:space="preserve"> identities significant weaknesses in the research work, measures shall be taken to remedy the situation.</w:t>
      </w:r>
    </w:p>
    <w:p w14:paraId="4156D87B" w14:textId="1C09491E" w:rsidR="00B3586F" w:rsidRPr="007A28D9" w:rsidRDefault="00B3586F" w:rsidP="007A28D9">
      <w:pPr>
        <w:spacing w:after="0"/>
        <w:ind w:left="566"/>
        <w:rPr>
          <w:sz w:val="21"/>
          <w:lang w:val="en-GB"/>
        </w:rPr>
      </w:pPr>
    </w:p>
    <w:tbl>
      <w:tblPr>
        <w:tblStyle w:val="TableGrid"/>
        <w:tblW w:w="9066" w:type="dxa"/>
        <w:tblInd w:w="566" w:type="dxa"/>
        <w:tblCellMar>
          <w:top w:w="43" w:type="dxa"/>
          <w:left w:w="107" w:type="dxa"/>
          <w:right w:w="95" w:type="dxa"/>
        </w:tblCellMar>
        <w:tblLook w:val="04A0" w:firstRow="1" w:lastRow="0" w:firstColumn="1" w:lastColumn="0" w:noHBand="0" w:noVBand="1"/>
      </w:tblPr>
      <w:tblGrid>
        <w:gridCol w:w="1787"/>
        <w:gridCol w:w="7279"/>
      </w:tblGrid>
      <w:tr w:rsidR="00BF07DC" w:rsidRPr="00132C00" w14:paraId="287AB87A" w14:textId="77777777" w:rsidTr="001C7643">
        <w:trPr>
          <w:trHeight w:val="719"/>
        </w:trPr>
        <w:tc>
          <w:tcPr>
            <w:tcW w:w="1787" w:type="dxa"/>
            <w:tcBorders>
              <w:top w:val="single" w:sz="12" w:space="0" w:color="9191CE"/>
              <w:left w:val="nil"/>
              <w:bottom w:val="single" w:sz="2" w:space="0" w:color="9191CE"/>
              <w:right w:val="single" w:sz="2" w:space="0" w:color="9191CE"/>
            </w:tcBorders>
            <w:shd w:val="clear" w:color="auto" w:fill="D9D9EE"/>
          </w:tcPr>
          <w:p w14:paraId="2B93B4D6" w14:textId="7E1A31D9" w:rsidR="007E50E9" w:rsidRPr="00FF54A5" w:rsidRDefault="00FF54A5" w:rsidP="00FF54A5">
            <w:pPr>
              <w:rPr>
                <w:b/>
                <w:sz w:val="21"/>
                <w:lang w:val="en-GB"/>
              </w:rPr>
            </w:pPr>
            <w:r w:rsidRPr="00FF54A5">
              <w:rPr>
                <w:b/>
                <w:sz w:val="21"/>
                <w:lang w:val="en-GB"/>
              </w:rPr>
              <w:t>1.</w:t>
            </w:r>
            <w:r>
              <w:rPr>
                <w:b/>
                <w:sz w:val="21"/>
                <w:lang w:val="en-GB"/>
              </w:rPr>
              <w:t xml:space="preserve"> </w:t>
            </w:r>
            <w:r w:rsidR="007E50E9" w:rsidRPr="00FF54A5">
              <w:rPr>
                <w:b/>
                <w:sz w:val="21"/>
                <w:lang w:val="en-GB"/>
              </w:rPr>
              <w:t>The evaluation group</w:t>
            </w:r>
          </w:p>
          <w:p w14:paraId="5C8D5054" w14:textId="77777777" w:rsidR="007E50E9" w:rsidRPr="00B4081B" w:rsidRDefault="007E50E9" w:rsidP="00BF07DC">
            <w:pPr>
              <w:ind w:left="1"/>
              <w:rPr>
                <w:sz w:val="21"/>
                <w:lang w:val="en-GB"/>
              </w:rPr>
            </w:pPr>
          </w:p>
          <w:p w14:paraId="344F9782" w14:textId="77777777" w:rsidR="00BF07DC" w:rsidRPr="00B4081B" w:rsidRDefault="00BF07DC" w:rsidP="00BF07DC">
            <w:pPr>
              <w:ind w:left="1"/>
              <w:rPr>
                <w:lang w:val="en-GB"/>
              </w:rPr>
            </w:pPr>
            <w:r w:rsidRPr="00B4081B">
              <w:rPr>
                <w:sz w:val="21"/>
                <w:lang w:val="en-GB"/>
              </w:rPr>
              <w:t xml:space="preserve"> </w:t>
            </w:r>
          </w:p>
        </w:tc>
        <w:tc>
          <w:tcPr>
            <w:tcW w:w="7279" w:type="dxa"/>
            <w:tcBorders>
              <w:top w:val="single" w:sz="12" w:space="0" w:color="9191CE"/>
              <w:left w:val="single" w:sz="2" w:space="0" w:color="9191CE"/>
              <w:bottom w:val="single" w:sz="2" w:space="0" w:color="9191CE"/>
              <w:right w:val="nil"/>
            </w:tcBorders>
            <w:shd w:val="clear" w:color="auto" w:fill="D9D9EE"/>
          </w:tcPr>
          <w:p w14:paraId="6C742CC4" w14:textId="77777777" w:rsidR="00BF07DC" w:rsidRPr="00B4081B" w:rsidRDefault="00BF07DC" w:rsidP="00BF07DC">
            <w:pPr>
              <w:rPr>
                <w:lang w:val="en-GB"/>
              </w:rPr>
            </w:pPr>
            <w:r w:rsidRPr="00B4081B">
              <w:rPr>
                <w:sz w:val="21"/>
                <w:lang w:val="en-GB"/>
              </w:rPr>
              <w:t xml:space="preserve">At least two subject and/or methodological experts, shall be appointed of which:   </w:t>
            </w:r>
          </w:p>
          <w:p w14:paraId="3FE6538A" w14:textId="77777777" w:rsidR="00BF07DC" w:rsidRPr="00B4081B" w:rsidRDefault="00BF07DC" w:rsidP="007814CA">
            <w:pPr>
              <w:pStyle w:val="Listeavsnitt"/>
              <w:numPr>
                <w:ilvl w:val="0"/>
                <w:numId w:val="2"/>
              </w:numPr>
              <w:tabs>
                <w:tab w:val="center" w:pos="392"/>
                <w:tab w:val="center" w:pos="2126"/>
              </w:tabs>
              <w:rPr>
                <w:lang w:val="en-GB"/>
              </w:rPr>
            </w:pPr>
            <w:r w:rsidRPr="00B4081B">
              <w:rPr>
                <w:rFonts w:ascii="Arial" w:eastAsia="Arial" w:hAnsi="Arial" w:cs="Arial"/>
                <w:sz w:val="21"/>
                <w:lang w:val="en-GB"/>
              </w:rPr>
              <w:tab/>
            </w:r>
            <w:r w:rsidRPr="00B4081B">
              <w:rPr>
                <w:sz w:val="21"/>
                <w:lang w:val="en-GB"/>
              </w:rPr>
              <w:t xml:space="preserve">all must </w:t>
            </w:r>
            <w:r w:rsidR="00324046" w:rsidRPr="00B4081B">
              <w:rPr>
                <w:sz w:val="21"/>
                <w:lang w:val="en-GB"/>
              </w:rPr>
              <w:t xml:space="preserve">normally </w:t>
            </w:r>
            <w:r w:rsidRPr="00B4081B">
              <w:rPr>
                <w:sz w:val="21"/>
                <w:lang w:val="en-GB"/>
              </w:rPr>
              <w:t xml:space="preserve">hold a PhD degree </w:t>
            </w:r>
          </w:p>
          <w:p w14:paraId="021FA430" w14:textId="66762031" w:rsidR="00BF07DC" w:rsidRPr="002E17CD" w:rsidRDefault="00BF07DC" w:rsidP="002E17CD">
            <w:pPr>
              <w:pStyle w:val="Listeavsnitt"/>
              <w:numPr>
                <w:ilvl w:val="0"/>
                <w:numId w:val="2"/>
              </w:numPr>
              <w:tabs>
                <w:tab w:val="center" w:pos="392"/>
                <w:tab w:val="center" w:pos="3565"/>
              </w:tabs>
              <w:jc w:val="both"/>
              <w:rPr>
                <w:lang w:val="en-GB"/>
              </w:rPr>
            </w:pPr>
            <w:r w:rsidRPr="002E17CD">
              <w:rPr>
                <w:sz w:val="21"/>
                <w:lang w:val="en-GB"/>
              </w:rPr>
              <w:t xml:space="preserve">at least one should be from a different institution, </w:t>
            </w:r>
          </w:p>
          <w:p w14:paraId="12EA6AC1" w14:textId="77777777" w:rsidR="00BF07DC" w:rsidRPr="00B4081B" w:rsidRDefault="00BF07DC" w:rsidP="00BF07DC">
            <w:pPr>
              <w:tabs>
                <w:tab w:val="center" w:pos="392"/>
                <w:tab w:val="center" w:pos="2403"/>
              </w:tabs>
              <w:rPr>
                <w:lang w:val="en-GB"/>
              </w:rPr>
            </w:pPr>
            <w:r w:rsidRPr="00B4081B">
              <w:rPr>
                <w:lang w:val="en-GB"/>
              </w:rPr>
              <w:tab/>
            </w:r>
            <w:r w:rsidRPr="00B4081B">
              <w:rPr>
                <w:sz w:val="21"/>
                <w:lang w:val="en-GB"/>
              </w:rPr>
              <w:t>‐</w:t>
            </w:r>
            <w:r w:rsidRPr="00B4081B">
              <w:rPr>
                <w:rFonts w:ascii="Arial" w:eastAsia="Arial" w:hAnsi="Arial" w:cs="Arial"/>
                <w:sz w:val="21"/>
                <w:lang w:val="en-GB"/>
              </w:rPr>
              <w:t xml:space="preserve"> </w:t>
            </w:r>
            <w:r w:rsidRPr="00B4081B">
              <w:rPr>
                <w:rFonts w:ascii="Arial" w:eastAsia="Arial" w:hAnsi="Arial" w:cs="Arial"/>
                <w:sz w:val="21"/>
                <w:lang w:val="en-GB"/>
              </w:rPr>
              <w:tab/>
            </w:r>
            <w:r w:rsidRPr="00B4081B">
              <w:rPr>
                <w:sz w:val="21"/>
                <w:lang w:val="en-GB"/>
              </w:rPr>
              <w:t xml:space="preserve">at least one should be employed </w:t>
            </w:r>
            <w:r w:rsidR="007814CA" w:rsidRPr="00B4081B">
              <w:rPr>
                <w:sz w:val="21"/>
                <w:lang w:val="en-GB"/>
              </w:rPr>
              <w:t>by</w:t>
            </w:r>
            <w:r w:rsidRPr="00B4081B">
              <w:rPr>
                <w:sz w:val="21"/>
                <w:lang w:val="en-GB"/>
              </w:rPr>
              <w:t xml:space="preserve"> USN </w:t>
            </w:r>
          </w:p>
          <w:p w14:paraId="460E3320" w14:textId="77777777" w:rsidR="00BF07DC" w:rsidRPr="00B4081B" w:rsidRDefault="00BF07DC" w:rsidP="00BF07DC">
            <w:pPr>
              <w:tabs>
                <w:tab w:val="center" w:pos="392"/>
                <w:tab w:val="center" w:pos="3315"/>
              </w:tabs>
              <w:rPr>
                <w:lang w:val="en-GB"/>
              </w:rPr>
            </w:pPr>
            <w:r w:rsidRPr="00B4081B">
              <w:rPr>
                <w:lang w:val="en-GB"/>
              </w:rPr>
              <w:tab/>
            </w:r>
            <w:r w:rsidRPr="00B4081B">
              <w:rPr>
                <w:sz w:val="21"/>
                <w:lang w:val="en-GB"/>
              </w:rPr>
              <w:t>‐</w:t>
            </w:r>
            <w:r w:rsidRPr="00B4081B">
              <w:rPr>
                <w:rFonts w:ascii="Arial" w:eastAsia="Arial" w:hAnsi="Arial" w:cs="Arial"/>
                <w:sz w:val="21"/>
                <w:lang w:val="en-GB"/>
              </w:rPr>
              <w:t xml:space="preserve"> </w:t>
            </w:r>
            <w:r w:rsidRPr="00B4081B">
              <w:rPr>
                <w:rFonts w:ascii="Arial" w:eastAsia="Arial" w:hAnsi="Arial" w:cs="Arial"/>
                <w:sz w:val="21"/>
                <w:lang w:val="en-GB"/>
              </w:rPr>
              <w:tab/>
            </w:r>
            <w:r w:rsidRPr="00B4081B">
              <w:rPr>
                <w:sz w:val="21"/>
                <w:lang w:val="en-GB"/>
              </w:rPr>
              <w:t xml:space="preserve">at least one should represent the subject or a related subject, </w:t>
            </w:r>
          </w:p>
          <w:p w14:paraId="1831AA26" w14:textId="3E088678" w:rsidR="00BF07DC" w:rsidRPr="00B4081B" w:rsidRDefault="00BF07DC" w:rsidP="00FD56C9">
            <w:pPr>
              <w:spacing w:after="15" w:line="239" w:lineRule="auto"/>
              <w:ind w:left="720" w:hanging="360"/>
              <w:rPr>
                <w:lang w:val="en-GB"/>
              </w:rPr>
            </w:pPr>
            <w:r w:rsidRPr="00B4081B">
              <w:rPr>
                <w:sz w:val="21"/>
                <w:lang w:val="en-GB"/>
              </w:rPr>
              <w:t>‐</w:t>
            </w:r>
            <w:r w:rsidRPr="00B4081B">
              <w:rPr>
                <w:rFonts w:ascii="Arial" w:eastAsia="Arial" w:hAnsi="Arial" w:cs="Arial"/>
                <w:sz w:val="21"/>
                <w:lang w:val="en-GB"/>
              </w:rPr>
              <w:t xml:space="preserve"> </w:t>
            </w:r>
            <w:r w:rsidRPr="00B4081B">
              <w:rPr>
                <w:rFonts w:ascii="Arial" w:eastAsia="Arial" w:hAnsi="Arial" w:cs="Arial"/>
                <w:sz w:val="21"/>
                <w:lang w:val="en-GB"/>
              </w:rPr>
              <w:tab/>
            </w:r>
            <w:r w:rsidRPr="00B4081B">
              <w:rPr>
                <w:sz w:val="21"/>
                <w:lang w:val="en-GB"/>
              </w:rPr>
              <w:t xml:space="preserve">at least one must have methodological competences that are used in the PhD dissertation </w:t>
            </w:r>
          </w:p>
          <w:p w14:paraId="4459276E" w14:textId="77777777" w:rsidR="00FC231F" w:rsidRPr="00B4081B" w:rsidRDefault="00FC231F" w:rsidP="00A813F6">
            <w:pPr>
              <w:rPr>
                <w:sz w:val="21"/>
                <w:lang w:val="en-GB"/>
              </w:rPr>
            </w:pPr>
          </w:p>
          <w:p w14:paraId="2B4A8692" w14:textId="0471B57B" w:rsidR="00BF07DC" w:rsidRPr="00B4081B" w:rsidRDefault="00414304" w:rsidP="00A813F6">
            <w:pPr>
              <w:rPr>
                <w:lang w:val="en-GB"/>
              </w:rPr>
            </w:pPr>
            <w:r w:rsidRPr="00B4081B">
              <w:rPr>
                <w:sz w:val="21"/>
                <w:lang w:val="en-GB"/>
              </w:rPr>
              <w:t>Normally, two</w:t>
            </w:r>
            <w:r w:rsidR="007814CA" w:rsidRPr="00B4081B">
              <w:rPr>
                <w:sz w:val="21"/>
                <w:lang w:val="en-GB"/>
              </w:rPr>
              <w:t xml:space="preserve"> reviewers</w:t>
            </w:r>
            <w:r w:rsidRPr="00B4081B">
              <w:rPr>
                <w:color w:val="auto"/>
                <w:sz w:val="21"/>
                <w:lang w:val="en-GB"/>
              </w:rPr>
              <w:t xml:space="preserve"> </w:t>
            </w:r>
            <w:r w:rsidRPr="00B4081B">
              <w:rPr>
                <w:sz w:val="21"/>
                <w:lang w:val="en-GB"/>
              </w:rPr>
              <w:t xml:space="preserve">are appointed for the midterm evaluation. </w:t>
            </w:r>
            <w:r w:rsidR="00FC231F" w:rsidRPr="00B4081B">
              <w:rPr>
                <w:sz w:val="21"/>
                <w:lang w:val="en-GB"/>
              </w:rPr>
              <w:t xml:space="preserve"> If more are desired, this must be clarified with the programme committee before appointment. </w:t>
            </w:r>
          </w:p>
          <w:p w14:paraId="6519602F" w14:textId="77777777" w:rsidR="00FC231F" w:rsidRPr="00B4081B" w:rsidRDefault="00FC231F" w:rsidP="00BF07DC">
            <w:pPr>
              <w:rPr>
                <w:sz w:val="21"/>
                <w:lang w:val="en-GB"/>
              </w:rPr>
            </w:pPr>
          </w:p>
          <w:p w14:paraId="198BE06A" w14:textId="77777777" w:rsidR="00BF07DC" w:rsidRPr="00B4081B" w:rsidRDefault="00BF07DC" w:rsidP="00BF07DC">
            <w:pPr>
              <w:rPr>
                <w:lang w:val="en-GB"/>
              </w:rPr>
            </w:pPr>
            <w:r w:rsidRPr="00B4081B">
              <w:rPr>
                <w:sz w:val="21"/>
                <w:lang w:val="en-GB"/>
              </w:rPr>
              <w:t>The e</w:t>
            </w:r>
            <w:r w:rsidR="00FC231F" w:rsidRPr="00B4081B">
              <w:rPr>
                <w:sz w:val="21"/>
                <w:lang w:val="en-GB"/>
              </w:rPr>
              <w:t>valuation group</w:t>
            </w:r>
            <w:r w:rsidR="007814CA" w:rsidRPr="00B4081B">
              <w:rPr>
                <w:sz w:val="21"/>
                <w:lang w:val="en-GB"/>
              </w:rPr>
              <w:t xml:space="preserve"> is</w:t>
            </w:r>
            <w:r w:rsidRPr="00B4081B">
              <w:rPr>
                <w:sz w:val="21"/>
                <w:lang w:val="en-GB"/>
              </w:rPr>
              <w:t xml:space="preserve"> appointed by the programme committee (§ 3‐8 in the regulations) </w:t>
            </w:r>
            <w:r w:rsidR="007814CA" w:rsidRPr="00B4081B">
              <w:rPr>
                <w:sz w:val="21"/>
                <w:lang w:val="en-GB"/>
              </w:rPr>
              <w:t>on the recommendation of the principal supervisor.</w:t>
            </w:r>
          </w:p>
          <w:p w14:paraId="262D0738" w14:textId="77777777" w:rsidR="00BF07DC" w:rsidRPr="00B4081B" w:rsidRDefault="00BF07DC" w:rsidP="00BF07DC">
            <w:pPr>
              <w:rPr>
                <w:lang w:val="en-GB"/>
              </w:rPr>
            </w:pPr>
          </w:p>
        </w:tc>
      </w:tr>
      <w:tr w:rsidR="00BF07DC" w:rsidRPr="00132C00" w14:paraId="72C8DBC8" w14:textId="77777777" w:rsidTr="001C7643">
        <w:trPr>
          <w:trHeight w:val="287"/>
        </w:trPr>
        <w:tc>
          <w:tcPr>
            <w:tcW w:w="1787" w:type="dxa"/>
            <w:tcBorders>
              <w:top w:val="single" w:sz="2" w:space="0" w:color="9191CE"/>
              <w:left w:val="nil"/>
              <w:bottom w:val="single" w:sz="2" w:space="0" w:color="9191CE"/>
              <w:right w:val="single" w:sz="2" w:space="0" w:color="9191CE"/>
            </w:tcBorders>
          </w:tcPr>
          <w:p w14:paraId="3A7EF829" w14:textId="0ACE7F92" w:rsidR="00BF07DC" w:rsidRPr="00B4081B" w:rsidRDefault="00A813F6" w:rsidP="00B4081B">
            <w:pPr>
              <w:ind w:left="1"/>
              <w:rPr>
                <w:b/>
                <w:sz w:val="21"/>
                <w:lang w:val="en-GB"/>
              </w:rPr>
            </w:pPr>
            <w:r w:rsidRPr="00B4081B">
              <w:rPr>
                <w:b/>
                <w:sz w:val="21"/>
                <w:lang w:val="en-GB"/>
              </w:rPr>
              <w:t>2.</w:t>
            </w:r>
            <w:r w:rsidR="00B4081B" w:rsidRPr="00B4081B">
              <w:rPr>
                <w:b/>
                <w:sz w:val="21"/>
                <w:lang w:val="en-GB"/>
              </w:rPr>
              <w:t xml:space="preserve"> </w:t>
            </w:r>
            <w:r w:rsidR="00BF07DC" w:rsidRPr="00B4081B">
              <w:rPr>
                <w:b/>
                <w:sz w:val="21"/>
                <w:lang w:val="en-GB"/>
              </w:rPr>
              <w:t>Course requirement</w:t>
            </w:r>
            <w:r w:rsidR="00BF07DC" w:rsidRPr="00B4081B">
              <w:rPr>
                <w:sz w:val="21"/>
                <w:lang w:val="en-GB"/>
              </w:rPr>
              <w:t xml:space="preserve"> </w:t>
            </w:r>
          </w:p>
        </w:tc>
        <w:tc>
          <w:tcPr>
            <w:tcW w:w="7279" w:type="dxa"/>
            <w:tcBorders>
              <w:top w:val="single" w:sz="2" w:space="0" w:color="9191CE"/>
              <w:left w:val="single" w:sz="2" w:space="0" w:color="9191CE"/>
              <w:bottom w:val="single" w:sz="2" w:space="0" w:color="9191CE"/>
              <w:right w:val="nil"/>
            </w:tcBorders>
          </w:tcPr>
          <w:p w14:paraId="3403044D" w14:textId="1002E5CF" w:rsidR="00BF07DC" w:rsidRPr="00B4081B" w:rsidRDefault="00BF07DC" w:rsidP="00BF07DC">
            <w:pPr>
              <w:rPr>
                <w:lang w:val="en-GB"/>
              </w:rPr>
            </w:pPr>
            <w:r w:rsidRPr="00B4081B">
              <w:rPr>
                <w:sz w:val="21"/>
                <w:lang w:val="en-GB"/>
              </w:rPr>
              <w:t>The mandatory courses should normally be completed</w:t>
            </w:r>
            <w:r w:rsidR="00414304" w:rsidRPr="00B4081B">
              <w:rPr>
                <w:sz w:val="21"/>
                <w:lang w:val="en-GB"/>
              </w:rPr>
              <w:t xml:space="preserve"> before the evaluation</w:t>
            </w:r>
            <w:r w:rsidRPr="00B4081B">
              <w:rPr>
                <w:sz w:val="21"/>
                <w:lang w:val="en-GB"/>
              </w:rPr>
              <w:t>.</w:t>
            </w:r>
            <w:r w:rsidR="00414304" w:rsidRPr="00B4081B">
              <w:rPr>
                <w:sz w:val="21"/>
                <w:lang w:val="en-GB"/>
              </w:rPr>
              <w:t xml:space="preserve"> </w:t>
            </w:r>
            <w:r w:rsidRPr="00B4081B">
              <w:rPr>
                <w:sz w:val="21"/>
                <w:lang w:val="en-GB"/>
              </w:rPr>
              <w:t xml:space="preserve"> </w:t>
            </w:r>
          </w:p>
        </w:tc>
      </w:tr>
      <w:tr w:rsidR="00EE716F" w:rsidRPr="00132C00" w14:paraId="1FA0AAD0" w14:textId="77777777" w:rsidTr="001C7643">
        <w:trPr>
          <w:trHeight w:val="1485"/>
        </w:trPr>
        <w:tc>
          <w:tcPr>
            <w:tcW w:w="1787" w:type="dxa"/>
            <w:tcBorders>
              <w:top w:val="single" w:sz="2" w:space="0" w:color="9191CE"/>
              <w:left w:val="nil"/>
              <w:bottom w:val="single" w:sz="2" w:space="0" w:color="9191CE"/>
              <w:right w:val="single" w:sz="2" w:space="0" w:color="9191CE"/>
            </w:tcBorders>
            <w:shd w:val="clear" w:color="auto" w:fill="D9D9EE"/>
          </w:tcPr>
          <w:p w14:paraId="259E7B78" w14:textId="4A450C59" w:rsidR="00EE716F" w:rsidRPr="00B4081B" w:rsidRDefault="00A813F6" w:rsidP="00B4081B">
            <w:pPr>
              <w:ind w:left="1"/>
              <w:rPr>
                <w:b/>
                <w:sz w:val="21"/>
                <w:lang w:val="en-GB"/>
              </w:rPr>
            </w:pPr>
            <w:r w:rsidRPr="00B4081B">
              <w:rPr>
                <w:b/>
                <w:sz w:val="21"/>
                <w:lang w:val="en-GB"/>
              </w:rPr>
              <w:t>3.</w:t>
            </w:r>
            <w:r w:rsidR="00B4081B" w:rsidRPr="00B4081B">
              <w:rPr>
                <w:b/>
                <w:sz w:val="21"/>
                <w:lang w:val="en-GB"/>
              </w:rPr>
              <w:t xml:space="preserve"> </w:t>
            </w:r>
            <w:r w:rsidR="00EE716F" w:rsidRPr="00B4081B">
              <w:rPr>
                <w:b/>
                <w:sz w:val="21"/>
                <w:lang w:val="en-GB"/>
              </w:rPr>
              <w:t>Time</w:t>
            </w:r>
            <w:r w:rsidR="00EE716F" w:rsidRPr="00B4081B">
              <w:rPr>
                <w:sz w:val="21"/>
                <w:lang w:val="en-GB"/>
              </w:rPr>
              <w:t xml:space="preserve"> </w:t>
            </w:r>
          </w:p>
        </w:tc>
        <w:tc>
          <w:tcPr>
            <w:tcW w:w="7279" w:type="dxa"/>
            <w:tcBorders>
              <w:top w:val="single" w:sz="2" w:space="0" w:color="9191CE"/>
              <w:left w:val="single" w:sz="2" w:space="0" w:color="9191CE"/>
              <w:bottom w:val="single" w:sz="2" w:space="0" w:color="9191CE"/>
              <w:right w:val="nil"/>
            </w:tcBorders>
            <w:shd w:val="clear" w:color="auto" w:fill="D9D9EE"/>
          </w:tcPr>
          <w:p w14:paraId="54B42FF5" w14:textId="7E2CB43B" w:rsidR="00EE716F" w:rsidRPr="00B4081B" w:rsidRDefault="00EE716F" w:rsidP="00EE716F">
            <w:pPr>
              <w:rPr>
                <w:lang w:val="en-GB"/>
              </w:rPr>
            </w:pPr>
            <w:r w:rsidRPr="00B4081B">
              <w:rPr>
                <w:sz w:val="21"/>
                <w:lang w:val="en-GB"/>
              </w:rPr>
              <w:t xml:space="preserve">The seminar </w:t>
            </w:r>
            <w:r w:rsidR="007814CA" w:rsidRPr="00B4081B">
              <w:rPr>
                <w:sz w:val="21"/>
                <w:lang w:val="en-GB"/>
              </w:rPr>
              <w:t>should</w:t>
            </w:r>
            <w:r w:rsidRPr="00B4081B">
              <w:rPr>
                <w:sz w:val="21"/>
                <w:lang w:val="en-GB"/>
              </w:rPr>
              <w:t xml:space="preserve"> be held approximately at the half‐way point of the thesis preparation. </w:t>
            </w:r>
          </w:p>
        </w:tc>
      </w:tr>
    </w:tbl>
    <w:p w14:paraId="71C5BB1C" w14:textId="2DC2A59F" w:rsidR="0093685A" w:rsidRPr="00B4081B" w:rsidRDefault="0093685A" w:rsidP="00233DAC">
      <w:pPr>
        <w:spacing w:after="0"/>
        <w:rPr>
          <w:lang w:val="en-GB"/>
        </w:rPr>
      </w:pPr>
    </w:p>
    <w:tbl>
      <w:tblPr>
        <w:tblStyle w:val="TableGrid"/>
        <w:tblW w:w="9121" w:type="dxa"/>
        <w:tblInd w:w="566" w:type="dxa"/>
        <w:tblCellMar>
          <w:top w:w="43" w:type="dxa"/>
          <w:left w:w="107" w:type="dxa"/>
          <w:right w:w="115" w:type="dxa"/>
        </w:tblCellMar>
        <w:tblLook w:val="04A0" w:firstRow="1" w:lastRow="0" w:firstColumn="1" w:lastColumn="0" w:noHBand="0" w:noVBand="1"/>
      </w:tblPr>
      <w:tblGrid>
        <w:gridCol w:w="1798"/>
        <w:gridCol w:w="7323"/>
      </w:tblGrid>
      <w:tr w:rsidR="00C25B03" w:rsidRPr="00132C00" w14:paraId="7BE9660D" w14:textId="77777777" w:rsidTr="00C25B03">
        <w:trPr>
          <w:trHeight w:val="516"/>
        </w:trPr>
        <w:tc>
          <w:tcPr>
            <w:tcW w:w="1798" w:type="dxa"/>
            <w:tcBorders>
              <w:top w:val="single" w:sz="2" w:space="0" w:color="9191CE"/>
              <w:left w:val="nil"/>
              <w:bottom w:val="single" w:sz="2" w:space="0" w:color="9191CE"/>
              <w:right w:val="single" w:sz="2" w:space="0" w:color="9191CE"/>
            </w:tcBorders>
            <w:shd w:val="clear" w:color="auto" w:fill="auto"/>
          </w:tcPr>
          <w:p w14:paraId="521251D3" w14:textId="54FEA94C" w:rsidR="00C25B03" w:rsidRPr="00B4081B" w:rsidRDefault="00C25B03" w:rsidP="00B4081B">
            <w:pPr>
              <w:ind w:left="1"/>
              <w:rPr>
                <w:b/>
                <w:color w:val="auto"/>
                <w:sz w:val="21"/>
                <w:lang w:val="en-GB"/>
              </w:rPr>
            </w:pPr>
            <w:r w:rsidRPr="00B4081B">
              <w:rPr>
                <w:b/>
                <w:color w:val="auto"/>
                <w:sz w:val="21"/>
                <w:lang w:val="en-GB"/>
              </w:rPr>
              <w:lastRenderedPageBreak/>
              <w:t>4.</w:t>
            </w:r>
            <w:r w:rsidR="00B4081B">
              <w:rPr>
                <w:b/>
                <w:color w:val="auto"/>
                <w:sz w:val="21"/>
                <w:lang w:val="en-GB"/>
              </w:rPr>
              <w:t xml:space="preserve"> </w:t>
            </w:r>
            <w:r w:rsidR="00E04192" w:rsidRPr="00B4081B">
              <w:rPr>
                <w:b/>
                <w:color w:val="auto"/>
                <w:sz w:val="21"/>
                <w:lang w:val="en-GB"/>
              </w:rPr>
              <w:t>Submission of documents before midterm evaluation</w:t>
            </w:r>
          </w:p>
        </w:tc>
        <w:tc>
          <w:tcPr>
            <w:tcW w:w="7323" w:type="dxa"/>
            <w:tcBorders>
              <w:top w:val="single" w:sz="2" w:space="0" w:color="9191CE"/>
              <w:left w:val="single" w:sz="2" w:space="0" w:color="9191CE"/>
              <w:bottom w:val="single" w:sz="2" w:space="0" w:color="9191CE"/>
              <w:right w:val="nil"/>
            </w:tcBorders>
            <w:shd w:val="clear" w:color="auto" w:fill="auto"/>
          </w:tcPr>
          <w:p w14:paraId="23D9F71A" w14:textId="5DA4B2FD" w:rsidR="0070415A" w:rsidRPr="006B6DCA" w:rsidRDefault="00132C00" w:rsidP="008202F6">
            <w:pPr>
              <w:spacing w:after="160" w:line="259" w:lineRule="auto"/>
              <w:rPr>
                <w:rFonts w:asciiTheme="minorHAnsi" w:eastAsiaTheme="minorHAnsi" w:hAnsiTheme="minorHAnsi" w:cstheme="minorBidi"/>
                <w:color w:val="auto"/>
                <w:sz w:val="21"/>
                <w:szCs w:val="21"/>
                <w:lang w:val="en-US"/>
              </w:rPr>
            </w:pPr>
            <w:r w:rsidRPr="006B6DCA">
              <w:rPr>
                <w:sz w:val="21"/>
                <w:szCs w:val="21"/>
                <w:lang w:val="en-US"/>
              </w:rPr>
              <w:t>The essay</w:t>
            </w:r>
            <w:r w:rsidR="008202F6" w:rsidRPr="006B6DCA">
              <w:rPr>
                <w:sz w:val="21"/>
                <w:szCs w:val="21"/>
                <w:lang w:val="en-US"/>
              </w:rPr>
              <w:t xml:space="preserve">, </w:t>
            </w:r>
            <w:hyperlink r:id="rId11" w:history="1">
              <w:r w:rsidR="008202F6" w:rsidRPr="006B6DCA">
                <w:rPr>
                  <w:rStyle w:val="Hyperkobling"/>
                  <w:sz w:val="21"/>
                  <w:szCs w:val="21"/>
                  <w:lang w:val="en-US"/>
                </w:rPr>
                <w:t>Midterm evaluation form for the candidate.docx (live.com)</w:t>
              </w:r>
            </w:hyperlink>
            <w:r w:rsidR="008202F6" w:rsidRPr="006B6DCA">
              <w:rPr>
                <w:rStyle w:val="Hyperkobling"/>
                <w:color w:val="000000"/>
                <w:sz w:val="21"/>
                <w:szCs w:val="21"/>
                <w:lang w:val="en-US"/>
              </w:rPr>
              <w:t xml:space="preserve"> </w:t>
            </w:r>
            <w:r w:rsidRPr="006B6DCA">
              <w:rPr>
                <w:sz w:val="21"/>
                <w:szCs w:val="21"/>
                <w:lang w:val="en-US"/>
              </w:rPr>
              <w:t>together with the attachments must be sent to both opponents and copy to all supervisors and phd coordinator at least 4 weeks before the planned seminar.</w:t>
            </w:r>
          </w:p>
        </w:tc>
      </w:tr>
      <w:tr w:rsidR="00692434" w:rsidRPr="00132C00" w14:paraId="551335D9" w14:textId="77777777">
        <w:trPr>
          <w:trHeight w:val="516"/>
        </w:trPr>
        <w:tc>
          <w:tcPr>
            <w:tcW w:w="1798" w:type="dxa"/>
            <w:tcBorders>
              <w:top w:val="single" w:sz="2" w:space="0" w:color="9191CE"/>
              <w:left w:val="nil"/>
              <w:bottom w:val="single" w:sz="2" w:space="0" w:color="9191CE"/>
              <w:right w:val="single" w:sz="2" w:space="0" w:color="9191CE"/>
            </w:tcBorders>
            <w:shd w:val="clear" w:color="auto" w:fill="D9D9EE"/>
          </w:tcPr>
          <w:p w14:paraId="5AA0C6B6" w14:textId="4C61CAF7" w:rsidR="00692434" w:rsidRPr="00B4081B" w:rsidRDefault="00692434" w:rsidP="00692434">
            <w:pPr>
              <w:ind w:left="1"/>
              <w:rPr>
                <w:b/>
                <w:sz w:val="21"/>
                <w:lang w:val="en-GB"/>
              </w:rPr>
            </w:pPr>
            <w:r>
              <w:rPr>
                <w:b/>
                <w:sz w:val="21"/>
                <w:lang w:val="en-GB"/>
              </w:rPr>
              <w:t>5</w:t>
            </w:r>
            <w:r w:rsidRPr="00B4081B">
              <w:rPr>
                <w:b/>
                <w:sz w:val="21"/>
                <w:lang w:val="en-GB"/>
              </w:rPr>
              <w:t>.</w:t>
            </w:r>
            <w:r>
              <w:rPr>
                <w:b/>
                <w:sz w:val="21"/>
                <w:lang w:val="en-GB"/>
              </w:rPr>
              <w:t xml:space="preserve"> </w:t>
            </w:r>
            <w:r w:rsidRPr="00B4081B">
              <w:rPr>
                <w:b/>
                <w:sz w:val="21"/>
                <w:lang w:val="en-GB"/>
              </w:rPr>
              <w:t>Advertising</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shd w:val="clear" w:color="auto" w:fill="D9D9EE"/>
          </w:tcPr>
          <w:p w14:paraId="6B9F1890" w14:textId="70305223" w:rsidR="00692434" w:rsidRPr="00B4081B" w:rsidRDefault="00692434" w:rsidP="00692434">
            <w:pPr>
              <w:ind w:right="239"/>
              <w:rPr>
                <w:sz w:val="21"/>
                <w:lang w:val="en-GB"/>
              </w:rPr>
            </w:pPr>
            <w:r w:rsidRPr="00B4081B">
              <w:rPr>
                <w:sz w:val="21"/>
                <w:lang w:val="en-GB"/>
              </w:rPr>
              <w:t xml:space="preserve">The PhD </w:t>
            </w:r>
            <w:r>
              <w:rPr>
                <w:sz w:val="21"/>
                <w:lang w:val="en-GB"/>
              </w:rPr>
              <w:t>coordinator</w:t>
            </w:r>
            <w:r w:rsidRPr="00B4081B">
              <w:rPr>
                <w:sz w:val="21"/>
                <w:lang w:val="en-GB"/>
              </w:rPr>
              <w:t xml:space="preserve"> is responsible for the advertisement</w:t>
            </w:r>
            <w:r>
              <w:rPr>
                <w:sz w:val="21"/>
                <w:lang w:val="en-GB"/>
              </w:rPr>
              <w:t xml:space="preserve"> of the seminar to the institute, phd fellows and </w:t>
            </w:r>
            <w:r w:rsidRPr="00B4081B">
              <w:rPr>
                <w:sz w:val="21"/>
                <w:lang w:val="en-GB"/>
              </w:rPr>
              <w:t xml:space="preserve">any other media </w:t>
            </w:r>
            <w:r>
              <w:rPr>
                <w:sz w:val="21"/>
                <w:lang w:val="en-GB"/>
              </w:rPr>
              <w:t>platforms</w:t>
            </w:r>
            <w:r w:rsidRPr="00B4081B">
              <w:rPr>
                <w:sz w:val="21"/>
                <w:lang w:val="en-GB"/>
              </w:rPr>
              <w:t xml:space="preserve"> that the programme committee consider appropriate. </w:t>
            </w:r>
          </w:p>
          <w:p w14:paraId="02215DAC" w14:textId="77777777" w:rsidR="00692434" w:rsidRPr="00B4081B" w:rsidRDefault="00692434" w:rsidP="00692434">
            <w:pPr>
              <w:rPr>
                <w:lang w:val="en-GB"/>
              </w:rPr>
            </w:pPr>
          </w:p>
        </w:tc>
      </w:tr>
      <w:tr w:rsidR="00692434" w:rsidRPr="00132C00" w14:paraId="352E0C5F" w14:textId="77777777">
        <w:trPr>
          <w:trHeight w:val="520"/>
        </w:trPr>
        <w:tc>
          <w:tcPr>
            <w:tcW w:w="1798" w:type="dxa"/>
            <w:tcBorders>
              <w:top w:val="single" w:sz="2" w:space="0" w:color="9191CE"/>
              <w:left w:val="nil"/>
              <w:bottom w:val="single" w:sz="2" w:space="0" w:color="9191CE"/>
              <w:right w:val="single" w:sz="2" w:space="0" w:color="9191CE"/>
            </w:tcBorders>
          </w:tcPr>
          <w:p w14:paraId="3BCB7229" w14:textId="28BFA823" w:rsidR="00692434" w:rsidRPr="00B4081B" w:rsidRDefault="00692434" w:rsidP="00692434">
            <w:pPr>
              <w:ind w:left="1"/>
              <w:rPr>
                <w:b/>
                <w:sz w:val="21"/>
                <w:lang w:val="en-GB"/>
              </w:rPr>
            </w:pPr>
            <w:r w:rsidRPr="00B4081B">
              <w:rPr>
                <w:b/>
                <w:sz w:val="21"/>
                <w:lang w:val="en-GB"/>
              </w:rPr>
              <w:t>6.</w:t>
            </w:r>
            <w:r>
              <w:rPr>
                <w:b/>
                <w:sz w:val="21"/>
                <w:lang w:val="en-GB"/>
              </w:rPr>
              <w:t xml:space="preserve"> </w:t>
            </w:r>
            <w:r w:rsidRPr="00B4081B">
              <w:rPr>
                <w:b/>
                <w:sz w:val="21"/>
                <w:lang w:val="en-GB"/>
              </w:rPr>
              <w:t>Seminar leader</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tcPr>
          <w:p w14:paraId="06E75F39" w14:textId="1E95384A" w:rsidR="00692434" w:rsidRPr="00B4081B" w:rsidRDefault="00692434" w:rsidP="00692434">
            <w:pPr>
              <w:ind w:right="594"/>
              <w:rPr>
                <w:sz w:val="21"/>
                <w:lang w:val="en-GB"/>
              </w:rPr>
            </w:pPr>
            <w:r w:rsidRPr="00B4081B">
              <w:rPr>
                <w:sz w:val="21"/>
                <w:lang w:val="en-GB"/>
              </w:rPr>
              <w:t xml:space="preserve">The seminar is chaired by the chair of the programme committee, or a person appointed by him/her. </w:t>
            </w:r>
          </w:p>
          <w:p w14:paraId="753CB664" w14:textId="77777777" w:rsidR="00692434" w:rsidRPr="00B4081B" w:rsidRDefault="00692434" w:rsidP="00692434">
            <w:pPr>
              <w:ind w:right="594"/>
              <w:rPr>
                <w:lang w:val="en-GB"/>
              </w:rPr>
            </w:pPr>
          </w:p>
        </w:tc>
      </w:tr>
      <w:tr w:rsidR="00692434" w:rsidRPr="00132C00" w14:paraId="0EADDED4" w14:textId="77777777">
        <w:trPr>
          <w:trHeight w:val="3336"/>
        </w:trPr>
        <w:tc>
          <w:tcPr>
            <w:tcW w:w="1798" w:type="dxa"/>
            <w:tcBorders>
              <w:top w:val="single" w:sz="2" w:space="0" w:color="9191CE"/>
              <w:left w:val="nil"/>
              <w:bottom w:val="single" w:sz="2" w:space="0" w:color="9191CE"/>
              <w:right w:val="single" w:sz="2" w:space="0" w:color="9191CE"/>
            </w:tcBorders>
            <w:shd w:val="clear" w:color="auto" w:fill="D9D9EE"/>
          </w:tcPr>
          <w:p w14:paraId="2A1F5C10" w14:textId="73AB8D84" w:rsidR="00692434" w:rsidRPr="00B4081B" w:rsidRDefault="00692434" w:rsidP="00692434">
            <w:pPr>
              <w:ind w:left="1"/>
              <w:rPr>
                <w:b/>
                <w:sz w:val="21"/>
                <w:lang w:val="en-GB"/>
              </w:rPr>
            </w:pPr>
            <w:r w:rsidRPr="00B4081B">
              <w:rPr>
                <w:b/>
                <w:sz w:val="21"/>
                <w:lang w:val="en-GB"/>
              </w:rPr>
              <w:t>7.</w:t>
            </w:r>
            <w:r>
              <w:rPr>
                <w:b/>
                <w:sz w:val="21"/>
                <w:lang w:val="en-GB"/>
              </w:rPr>
              <w:t xml:space="preserve"> </w:t>
            </w:r>
            <w:r w:rsidRPr="00B4081B">
              <w:rPr>
                <w:b/>
                <w:sz w:val="21"/>
                <w:lang w:val="en-GB"/>
              </w:rPr>
              <w:t>The seminar</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shd w:val="clear" w:color="auto" w:fill="D9D9EE"/>
          </w:tcPr>
          <w:p w14:paraId="1B5AA636" w14:textId="700B3D96" w:rsidR="00692434" w:rsidRPr="00B27BEC" w:rsidRDefault="00692434" w:rsidP="00692434">
            <w:pPr>
              <w:ind w:right="1050"/>
              <w:rPr>
                <w:sz w:val="21"/>
                <w:szCs w:val="21"/>
                <w:lang w:val="en-GB"/>
              </w:rPr>
            </w:pPr>
            <w:r w:rsidRPr="00B27BEC">
              <w:rPr>
                <w:sz w:val="21"/>
                <w:szCs w:val="21"/>
                <w:lang w:val="en-GB"/>
              </w:rPr>
              <w:t>Timeframe:</w:t>
            </w:r>
          </w:p>
          <w:p w14:paraId="63F93741" w14:textId="77777777" w:rsidR="00692434" w:rsidRPr="00B27BEC" w:rsidRDefault="00692434" w:rsidP="00692434">
            <w:pPr>
              <w:pStyle w:val="Listeavsnitt"/>
              <w:numPr>
                <w:ilvl w:val="0"/>
                <w:numId w:val="3"/>
              </w:numPr>
              <w:ind w:right="1050"/>
              <w:rPr>
                <w:sz w:val="21"/>
                <w:szCs w:val="21"/>
                <w:lang w:val="en-GB"/>
              </w:rPr>
            </w:pPr>
            <w:r w:rsidRPr="00B27BEC">
              <w:rPr>
                <w:sz w:val="21"/>
                <w:szCs w:val="21"/>
                <w:lang w:val="en-GB"/>
              </w:rPr>
              <w:t xml:space="preserve">The PhD candidate holds a presentation on her/his research work for a maximum of 20 minutes. </w:t>
            </w:r>
          </w:p>
          <w:p w14:paraId="52FB72B1" w14:textId="18E34882" w:rsidR="00692434" w:rsidRPr="00B27BEC" w:rsidRDefault="00692434" w:rsidP="00692434">
            <w:pPr>
              <w:pStyle w:val="Listeavsnitt"/>
              <w:numPr>
                <w:ilvl w:val="0"/>
                <w:numId w:val="3"/>
              </w:numPr>
              <w:ind w:right="1050"/>
              <w:rPr>
                <w:sz w:val="21"/>
                <w:szCs w:val="21"/>
                <w:lang w:val="en-GB"/>
              </w:rPr>
            </w:pPr>
            <w:r w:rsidRPr="00B27BEC">
              <w:rPr>
                <w:sz w:val="21"/>
                <w:szCs w:val="21"/>
                <w:lang w:val="en-GB"/>
              </w:rPr>
              <w:t xml:space="preserve">Discussion between the PhD candidate and evaluation committee for a maximum of 60 minutes. </w:t>
            </w:r>
          </w:p>
          <w:p w14:paraId="6261556D" w14:textId="1B7E454D" w:rsidR="00692434" w:rsidRPr="00B27BEC" w:rsidRDefault="00692434" w:rsidP="00692434">
            <w:pPr>
              <w:pStyle w:val="Listeavsnitt"/>
              <w:numPr>
                <w:ilvl w:val="0"/>
                <w:numId w:val="3"/>
              </w:numPr>
              <w:ind w:right="1050"/>
              <w:rPr>
                <w:sz w:val="21"/>
                <w:szCs w:val="21"/>
                <w:lang w:val="en-GB"/>
              </w:rPr>
            </w:pPr>
            <w:r w:rsidRPr="00B27BEC">
              <w:rPr>
                <w:sz w:val="21"/>
                <w:szCs w:val="21"/>
                <w:lang w:val="en-GB"/>
              </w:rPr>
              <w:t>Break for a maximum of 10 minutes.</w:t>
            </w:r>
          </w:p>
          <w:p w14:paraId="27C6A94E" w14:textId="7A65D0F7" w:rsidR="00692434" w:rsidRPr="00B27BEC" w:rsidRDefault="00692434" w:rsidP="00692434">
            <w:pPr>
              <w:pStyle w:val="Listeavsnitt"/>
              <w:numPr>
                <w:ilvl w:val="0"/>
                <w:numId w:val="3"/>
              </w:numPr>
              <w:ind w:right="1050"/>
              <w:rPr>
                <w:sz w:val="21"/>
                <w:szCs w:val="21"/>
                <w:lang w:val="en-GB"/>
              </w:rPr>
            </w:pPr>
            <w:r w:rsidRPr="00B27BEC">
              <w:rPr>
                <w:sz w:val="21"/>
                <w:szCs w:val="21"/>
                <w:lang w:val="en-GB"/>
              </w:rPr>
              <w:t xml:space="preserve">Q&amp;A with the audience for a maximum of 15 minutes. </w:t>
            </w:r>
          </w:p>
          <w:p w14:paraId="1EB8AE55" w14:textId="164E7AD4" w:rsidR="00692434" w:rsidRPr="00B27BEC" w:rsidRDefault="00692434" w:rsidP="00692434">
            <w:pPr>
              <w:pStyle w:val="Listeavsnitt"/>
              <w:numPr>
                <w:ilvl w:val="0"/>
                <w:numId w:val="3"/>
              </w:numPr>
              <w:ind w:right="1050"/>
              <w:rPr>
                <w:sz w:val="21"/>
                <w:szCs w:val="21"/>
                <w:lang w:val="en-GB"/>
              </w:rPr>
            </w:pPr>
            <w:r w:rsidRPr="00B27BEC">
              <w:rPr>
                <w:sz w:val="21"/>
                <w:szCs w:val="21"/>
                <w:lang w:val="en-GB"/>
              </w:rPr>
              <w:t xml:space="preserve">The seminar (the evaluation committee, the supervisors, and the seminar leader) concludes with an individual discussion with the PhD candidate and recommendations for further progress. This discussion is without an audience. </w:t>
            </w:r>
          </w:p>
          <w:p w14:paraId="2E04C826" w14:textId="77777777" w:rsidR="00692434" w:rsidRPr="00B27BEC" w:rsidRDefault="00692434" w:rsidP="00692434">
            <w:pPr>
              <w:rPr>
                <w:sz w:val="21"/>
                <w:szCs w:val="21"/>
                <w:lang w:val="en-GB"/>
              </w:rPr>
            </w:pPr>
            <w:r w:rsidRPr="00B27BEC">
              <w:rPr>
                <w:sz w:val="21"/>
                <w:szCs w:val="21"/>
                <w:lang w:val="en-GB"/>
              </w:rPr>
              <w:t xml:space="preserve"> </w:t>
            </w:r>
          </w:p>
          <w:p w14:paraId="2F086F36" w14:textId="103D4095" w:rsidR="00692434" w:rsidRPr="00B27BEC" w:rsidRDefault="00692434" w:rsidP="00692434">
            <w:pPr>
              <w:ind w:right="663"/>
              <w:rPr>
                <w:sz w:val="21"/>
                <w:szCs w:val="21"/>
                <w:lang w:val="en-GB"/>
              </w:rPr>
            </w:pPr>
            <w:r w:rsidRPr="00B27BEC">
              <w:rPr>
                <w:sz w:val="21"/>
                <w:szCs w:val="21"/>
                <w:lang w:val="en-GB"/>
              </w:rPr>
              <w:t xml:space="preserve">The supervisor(s) must be present at the seminar but should not participate in the discussions under points 1, 2 and 4. </w:t>
            </w:r>
          </w:p>
          <w:p w14:paraId="113DE604" w14:textId="3C449B59" w:rsidR="00692434" w:rsidRPr="00D43355" w:rsidRDefault="00692434" w:rsidP="00692434">
            <w:pPr>
              <w:ind w:right="663"/>
              <w:rPr>
                <w:sz w:val="21"/>
                <w:lang w:val="en-GB"/>
              </w:rPr>
            </w:pPr>
          </w:p>
        </w:tc>
      </w:tr>
      <w:tr w:rsidR="00692434" w:rsidRPr="00132C00" w14:paraId="428BD185" w14:textId="77777777">
        <w:trPr>
          <w:trHeight w:val="519"/>
        </w:trPr>
        <w:tc>
          <w:tcPr>
            <w:tcW w:w="1798" w:type="dxa"/>
            <w:tcBorders>
              <w:top w:val="single" w:sz="2" w:space="0" w:color="9191CE"/>
              <w:left w:val="nil"/>
              <w:bottom w:val="single" w:sz="2" w:space="0" w:color="9191CE"/>
              <w:right w:val="single" w:sz="2" w:space="0" w:color="9191CE"/>
            </w:tcBorders>
          </w:tcPr>
          <w:p w14:paraId="1AD6AA0F" w14:textId="444A9545" w:rsidR="00692434" w:rsidRPr="00D43355" w:rsidRDefault="00692434" w:rsidP="00692434">
            <w:pPr>
              <w:ind w:left="1"/>
              <w:rPr>
                <w:b/>
                <w:sz w:val="21"/>
                <w:lang w:val="en-GB"/>
              </w:rPr>
            </w:pPr>
            <w:r w:rsidRPr="00B4081B">
              <w:rPr>
                <w:b/>
                <w:sz w:val="21"/>
                <w:lang w:val="en-GB"/>
              </w:rPr>
              <w:t>8.</w:t>
            </w:r>
            <w:r>
              <w:rPr>
                <w:b/>
                <w:sz w:val="21"/>
                <w:lang w:val="en-GB"/>
              </w:rPr>
              <w:t xml:space="preserve"> </w:t>
            </w:r>
            <w:r w:rsidRPr="00B4081B">
              <w:rPr>
                <w:b/>
                <w:sz w:val="21"/>
                <w:lang w:val="en-GB"/>
              </w:rPr>
              <w:t>Language</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tcPr>
          <w:p w14:paraId="3846BCCB" w14:textId="77777777" w:rsidR="00692434" w:rsidRPr="00B4081B" w:rsidRDefault="00692434" w:rsidP="00692434">
            <w:pPr>
              <w:ind w:right="679"/>
              <w:rPr>
                <w:sz w:val="21"/>
                <w:lang w:val="en-GB"/>
              </w:rPr>
            </w:pPr>
            <w:r w:rsidRPr="00B4081B">
              <w:rPr>
                <w:sz w:val="21"/>
                <w:lang w:val="en-GB"/>
              </w:rPr>
              <w:t xml:space="preserve">The PhD candidate presentation must be conducted in English. </w:t>
            </w:r>
          </w:p>
          <w:p w14:paraId="0CC58C32" w14:textId="77777777" w:rsidR="00692434" w:rsidRPr="00B4081B" w:rsidRDefault="00692434" w:rsidP="00692434">
            <w:pPr>
              <w:ind w:right="679"/>
              <w:rPr>
                <w:sz w:val="21"/>
                <w:lang w:val="en-GB"/>
              </w:rPr>
            </w:pPr>
            <w:r w:rsidRPr="00B4081B">
              <w:rPr>
                <w:sz w:val="21"/>
                <w:lang w:val="en-GB"/>
              </w:rPr>
              <w:t xml:space="preserve">The following discussion may be in Norwegian. </w:t>
            </w:r>
          </w:p>
          <w:p w14:paraId="11A0027B" w14:textId="77777777" w:rsidR="00692434" w:rsidRPr="00B4081B" w:rsidRDefault="00692434" w:rsidP="00692434">
            <w:pPr>
              <w:ind w:right="679"/>
              <w:rPr>
                <w:lang w:val="en-GB"/>
              </w:rPr>
            </w:pPr>
          </w:p>
        </w:tc>
      </w:tr>
      <w:tr w:rsidR="00692434" w:rsidRPr="00132C00" w14:paraId="12A9C653" w14:textId="77777777">
        <w:trPr>
          <w:trHeight w:val="260"/>
        </w:trPr>
        <w:tc>
          <w:tcPr>
            <w:tcW w:w="1798" w:type="dxa"/>
            <w:tcBorders>
              <w:top w:val="single" w:sz="2" w:space="0" w:color="9191CE"/>
              <w:left w:val="nil"/>
              <w:bottom w:val="single" w:sz="2" w:space="0" w:color="9191CE"/>
              <w:right w:val="single" w:sz="2" w:space="0" w:color="9191CE"/>
            </w:tcBorders>
            <w:shd w:val="clear" w:color="auto" w:fill="D9D9EE"/>
          </w:tcPr>
          <w:p w14:paraId="3BB6F197" w14:textId="06A1C7B7" w:rsidR="00692434" w:rsidRPr="00B55CA0" w:rsidRDefault="00692434" w:rsidP="00692434">
            <w:pPr>
              <w:ind w:left="1"/>
              <w:rPr>
                <w:b/>
                <w:sz w:val="21"/>
                <w:lang w:val="en-GB"/>
              </w:rPr>
            </w:pPr>
            <w:r w:rsidRPr="00B4081B">
              <w:rPr>
                <w:b/>
                <w:sz w:val="21"/>
                <w:lang w:val="en-GB"/>
              </w:rPr>
              <w:t>9.</w:t>
            </w:r>
            <w:r>
              <w:rPr>
                <w:b/>
                <w:sz w:val="21"/>
                <w:lang w:val="en-GB"/>
              </w:rPr>
              <w:t xml:space="preserve"> </w:t>
            </w:r>
            <w:r w:rsidRPr="00B4081B">
              <w:rPr>
                <w:b/>
                <w:sz w:val="21"/>
                <w:lang w:val="en-GB"/>
              </w:rPr>
              <w:t>Duration</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shd w:val="clear" w:color="auto" w:fill="D9D9EE"/>
          </w:tcPr>
          <w:p w14:paraId="745F139B" w14:textId="77777777" w:rsidR="00692434" w:rsidRPr="00B4081B" w:rsidRDefault="00692434" w:rsidP="00692434">
            <w:pPr>
              <w:rPr>
                <w:sz w:val="21"/>
                <w:lang w:val="en-GB"/>
              </w:rPr>
            </w:pPr>
            <w:r w:rsidRPr="00B4081B">
              <w:rPr>
                <w:sz w:val="21"/>
                <w:lang w:val="en-GB"/>
              </w:rPr>
              <w:t xml:space="preserve">The duration of the seminar will be approximately 2 hours. </w:t>
            </w:r>
          </w:p>
          <w:p w14:paraId="7E8014C5" w14:textId="77777777" w:rsidR="00692434" w:rsidRPr="00B4081B" w:rsidRDefault="00692434" w:rsidP="00692434">
            <w:pPr>
              <w:rPr>
                <w:lang w:val="en-GB"/>
              </w:rPr>
            </w:pPr>
          </w:p>
        </w:tc>
      </w:tr>
      <w:tr w:rsidR="00692434" w:rsidRPr="00132C00" w14:paraId="01DF3E0F" w14:textId="77777777" w:rsidTr="007E50E9">
        <w:trPr>
          <w:trHeight w:val="1379"/>
        </w:trPr>
        <w:tc>
          <w:tcPr>
            <w:tcW w:w="1798" w:type="dxa"/>
            <w:tcBorders>
              <w:top w:val="single" w:sz="2" w:space="0" w:color="9191CE"/>
              <w:left w:val="nil"/>
              <w:bottom w:val="single" w:sz="2" w:space="0" w:color="9191CE"/>
              <w:right w:val="single" w:sz="2" w:space="0" w:color="9191CE"/>
            </w:tcBorders>
          </w:tcPr>
          <w:p w14:paraId="69714273" w14:textId="502FAFEC" w:rsidR="00692434" w:rsidRPr="00B55CA0" w:rsidRDefault="00692434" w:rsidP="00692434">
            <w:pPr>
              <w:ind w:left="1" w:right="-302"/>
              <w:rPr>
                <w:b/>
                <w:sz w:val="21"/>
                <w:lang w:val="en-GB"/>
              </w:rPr>
            </w:pPr>
            <w:r w:rsidRPr="00B4081B">
              <w:rPr>
                <w:b/>
                <w:sz w:val="21"/>
                <w:lang w:val="en-GB"/>
              </w:rPr>
              <w:t>10.</w:t>
            </w:r>
            <w:r>
              <w:rPr>
                <w:b/>
                <w:sz w:val="21"/>
                <w:lang w:val="en-GB"/>
              </w:rPr>
              <w:t xml:space="preserve"> </w:t>
            </w:r>
            <w:r w:rsidRPr="00B4081B">
              <w:rPr>
                <w:b/>
                <w:sz w:val="21"/>
                <w:lang w:val="en-GB"/>
              </w:rPr>
              <w:t>Documentation/ assessment</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tcPr>
          <w:p w14:paraId="390F1503" w14:textId="29820B19" w:rsidR="00692434" w:rsidRPr="00B4081B" w:rsidRDefault="00692434" w:rsidP="00692434">
            <w:pPr>
              <w:ind w:right="291"/>
              <w:rPr>
                <w:lang w:val="en-GB"/>
              </w:rPr>
            </w:pPr>
            <w:r w:rsidRPr="00B4081B">
              <w:rPr>
                <w:sz w:val="21"/>
                <w:lang w:val="en-GB"/>
              </w:rPr>
              <w:t xml:space="preserve">The evaluation </w:t>
            </w:r>
            <w:r>
              <w:rPr>
                <w:sz w:val="21"/>
                <w:lang w:val="en-GB"/>
              </w:rPr>
              <w:t>group</w:t>
            </w:r>
            <w:r w:rsidRPr="00B4081B">
              <w:rPr>
                <w:sz w:val="21"/>
                <w:lang w:val="en-GB"/>
              </w:rPr>
              <w:t xml:space="preserve"> provides verbal and written assessment. The written assessment </w:t>
            </w:r>
            <w:r>
              <w:rPr>
                <w:sz w:val="21"/>
                <w:lang w:val="en-GB"/>
              </w:rPr>
              <w:t>must</w:t>
            </w:r>
            <w:r w:rsidRPr="00B4081B">
              <w:rPr>
                <w:sz w:val="21"/>
                <w:lang w:val="en-GB"/>
              </w:rPr>
              <w:t xml:space="preserve"> be made on the designated </w:t>
            </w:r>
            <w:r>
              <w:rPr>
                <w:sz w:val="21"/>
                <w:lang w:val="en-GB"/>
              </w:rPr>
              <w:t>form sent by PhD coordinator</w:t>
            </w:r>
            <w:r w:rsidRPr="00B4081B">
              <w:rPr>
                <w:sz w:val="21"/>
                <w:lang w:val="en-GB"/>
              </w:rPr>
              <w:t xml:space="preserve">. The conclusion and suggestions for further progression will be sent to the </w:t>
            </w:r>
            <w:r>
              <w:rPr>
                <w:sz w:val="21"/>
                <w:lang w:val="en-GB"/>
              </w:rPr>
              <w:t xml:space="preserve">PhD coordinator and the </w:t>
            </w:r>
            <w:r w:rsidRPr="00B4081B">
              <w:rPr>
                <w:sz w:val="21"/>
                <w:lang w:val="en-GB"/>
              </w:rPr>
              <w:t>chair of the programme- committee</w:t>
            </w:r>
            <w:r>
              <w:rPr>
                <w:sz w:val="21"/>
                <w:lang w:val="en-GB"/>
              </w:rPr>
              <w:t>.</w:t>
            </w:r>
            <w:r w:rsidRPr="00B4081B">
              <w:rPr>
                <w:sz w:val="21"/>
                <w:lang w:val="en-GB"/>
              </w:rPr>
              <w:t xml:space="preserve"> The evaluation committee must send their written assessment within a week after the seminar.</w:t>
            </w:r>
          </w:p>
          <w:p w14:paraId="12A5E8C3" w14:textId="77777777" w:rsidR="00692434" w:rsidRPr="00B4081B" w:rsidRDefault="00692434" w:rsidP="00692434">
            <w:pPr>
              <w:ind w:right="1182"/>
              <w:rPr>
                <w:lang w:val="en-GB"/>
              </w:rPr>
            </w:pPr>
          </w:p>
        </w:tc>
      </w:tr>
      <w:tr w:rsidR="00692434" w:rsidRPr="00E54999" w14:paraId="6443B67C" w14:textId="77777777">
        <w:trPr>
          <w:trHeight w:val="773"/>
        </w:trPr>
        <w:tc>
          <w:tcPr>
            <w:tcW w:w="1798" w:type="dxa"/>
            <w:tcBorders>
              <w:top w:val="single" w:sz="2" w:space="0" w:color="9191CE"/>
              <w:left w:val="nil"/>
              <w:bottom w:val="single" w:sz="2" w:space="0" w:color="9191CE"/>
              <w:right w:val="single" w:sz="2" w:space="0" w:color="9191CE"/>
            </w:tcBorders>
            <w:shd w:val="clear" w:color="auto" w:fill="D9D9EE"/>
          </w:tcPr>
          <w:p w14:paraId="34E53343" w14:textId="5EBBA919" w:rsidR="00692434" w:rsidRPr="00DD6517" w:rsidRDefault="00692434" w:rsidP="00692434">
            <w:pPr>
              <w:ind w:left="1"/>
              <w:rPr>
                <w:b/>
                <w:sz w:val="21"/>
                <w:lang w:val="en-GB"/>
              </w:rPr>
            </w:pPr>
            <w:r w:rsidRPr="00B4081B">
              <w:rPr>
                <w:b/>
                <w:sz w:val="21"/>
                <w:lang w:val="en-GB"/>
              </w:rPr>
              <w:t>11.</w:t>
            </w:r>
            <w:r>
              <w:rPr>
                <w:b/>
                <w:sz w:val="21"/>
                <w:lang w:val="en-GB"/>
              </w:rPr>
              <w:t xml:space="preserve"> </w:t>
            </w:r>
            <w:r w:rsidRPr="00B4081B">
              <w:rPr>
                <w:b/>
                <w:sz w:val="21"/>
                <w:lang w:val="en-GB"/>
              </w:rPr>
              <w:t>Finance</w:t>
            </w:r>
            <w:r w:rsidRPr="00B4081B">
              <w:rPr>
                <w:sz w:val="21"/>
                <w:lang w:val="en-GB"/>
              </w:rPr>
              <w:t xml:space="preserve">  </w:t>
            </w:r>
          </w:p>
        </w:tc>
        <w:tc>
          <w:tcPr>
            <w:tcW w:w="7323" w:type="dxa"/>
            <w:tcBorders>
              <w:top w:val="single" w:sz="2" w:space="0" w:color="9191CE"/>
              <w:left w:val="single" w:sz="2" w:space="0" w:color="9191CE"/>
              <w:bottom w:val="single" w:sz="2" w:space="0" w:color="9191CE"/>
              <w:right w:val="nil"/>
            </w:tcBorders>
            <w:shd w:val="clear" w:color="auto" w:fill="D9D9EE"/>
          </w:tcPr>
          <w:p w14:paraId="57EC5A8B" w14:textId="78911258" w:rsidR="00692434" w:rsidRPr="00B4081B" w:rsidRDefault="00692434" w:rsidP="00692434">
            <w:pPr>
              <w:rPr>
                <w:lang w:val="en-GB"/>
              </w:rPr>
            </w:pPr>
            <w:r w:rsidRPr="00B4081B">
              <w:rPr>
                <w:sz w:val="21"/>
                <w:lang w:val="en-GB"/>
              </w:rPr>
              <w:t xml:space="preserve">The </w:t>
            </w:r>
            <w:r>
              <w:rPr>
                <w:sz w:val="21"/>
                <w:lang w:val="en-GB"/>
              </w:rPr>
              <w:t>evaluation group</w:t>
            </w:r>
            <w:r w:rsidRPr="00B4081B">
              <w:rPr>
                <w:sz w:val="21"/>
                <w:lang w:val="en-GB"/>
              </w:rPr>
              <w:t xml:space="preserve"> receive reimbursement for travel and any </w:t>
            </w:r>
          </w:p>
          <w:p w14:paraId="215A7218" w14:textId="20D0CF9B" w:rsidR="00692434" w:rsidRPr="00B4081B" w:rsidRDefault="00692434" w:rsidP="00692434">
            <w:pPr>
              <w:rPr>
                <w:sz w:val="21"/>
                <w:lang w:val="en-GB"/>
              </w:rPr>
            </w:pPr>
            <w:r w:rsidRPr="00B4081B">
              <w:rPr>
                <w:sz w:val="21"/>
                <w:lang w:val="en-GB"/>
              </w:rPr>
              <w:t>accommodation costs for one night</w:t>
            </w:r>
            <w:r>
              <w:rPr>
                <w:sz w:val="21"/>
                <w:lang w:val="en-GB"/>
              </w:rPr>
              <w:t>. The external members of the evaluation group are also</w:t>
            </w:r>
            <w:r w:rsidRPr="00B4081B">
              <w:rPr>
                <w:sz w:val="21"/>
                <w:lang w:val="en-GB"/>
              </w:rPr>
              <w:t xml:space="preserve"> paid</w:t>
            </w:r>
            <w:r>
              <w:rPr>
                <w:sz w:val="21"/>
                <w:lang w:val="en-GB"/>
              </w:rPr>
              <w:t xml:space="preserve"> NOK 6’000. </w:t>
            </w:r>
            <w:r w:rsidRPr="00B4081B">
              <w:rPr>
                <w:sz w:val="21"/>
                <w:lang w:val="en-GB"/>
              </w:rPr>
              <w:t xml:space="preserve">The faculty is responsible for meeting these costs. </w:t>
            </w:r>
          </w:p>
          <w:p w14:paraId="25D7D644" w14:textId="77777777" w:rsidR="00692434" w:rsidRPr="00B4081B" w:rsidRDefault="00692434" w:rsidP="00692434">
            <w:pPr>
              <w:rPr>
                <w:lang w:val="en-GB"/>
              </w:rPr>
            </w:pPr>
          </w:p>
        </w:tc>
      </w:tr>
    </w:tbl>
    <w:p w14:paraId="26D8F8B6" w14:textId="1F332679" w:rsidR="0093685A" w:rsidRPr="00B4081B" w:rsidRDefault="00704B70" w:rsidP="00692434">
      <w:pPr>
        <w:spacing w:after="36"/>
        <w:ind w:right="-15"/>
        <w:rPr>
          <w:lang w:val="en-GB"/>
        </w:rPr>
      </w:pPr>
      <w:r w:rsidRPr="00B4081B">
        <w:rPr>
          <w:color w:val="3AAEA1"/>
          <w:sz w:val="21"/>
          <w:lang w:val="en-GB"/>
        </w:rPr>
        <w:t xml:space="preserve">_ </w:t>
      </w:r>
    </w:p>
    <w:p w14:paraId="6CCA382E" w14:textId="77777777" w:rsidR="0093685A" w:rsidRPr="00B4081B" w:rsidRDefault="00704B70">
      <w:pPr>
        <w:tabs>
          <w:tab w:val="center" w:pos="1099"/>
          <w:tab w:val="center" w:pos="2940"/>
          <w:tab w:val="center" w:pos="5207"/>
          <w:tab w:val="right" w:pos="9523"/>
        </w:tabs>
        <w:spacing w:after="0"/>
        <w:rPr>
          <w:lang w:val="en-GB"/>
        </w:rPr>
      </w:pPr>
      <w:r w:rsidRPr="00B4081B">
        <w:rPr>
          <w:lang w:val="en-GB"/>
        </w:rPr>
        <w:tab/>
      </w:r>
      <w:r w:rsidRPr="00B4081B">
        <w:rPr>
          <w:b/>
          <w:color w:val="3AAEA1"/>
          <w:sz w:val="16"/>
          <w:lang w:val="en-GB"/>
        </w:rPr>
        <w:t>www.usn.no</w:t>
      </w:r>
      <w:r w:rsidRPr="00B4081B">
        <w:rPr>
          <w:color w:val="3AAEA1"/>
          <w:sz w:val="16"/>
          <w:lang w:val="en-GB"/>
        </w:rPr>
        <w:t xml:space="preserve"> </w:t>
      </w:r>
      <w:r w:rsidRPr="00B4081B">
        <w:rPr>
          <w:color w:val="3AAEA1"/>
          <w:sz w:val="16"/>
          <w:lang w:val="en-GB"/>
        </w:rPr>
        <w:tab/>
      </w:r>
      <w:r w:rsidRPr="00B4081B">
        <w:rPr>
          <w:sz w:val="16"/>
          <w:lang w:val="en-GB"/>
        </w:rPr>
        <w:t xml:space="preserve"> </w:t>
      </w:r>
      <w:r w:rsidRPr="00B4081B">
        <w:rPr>
          <w:sz w:val="16"/>
          <w:lang w:val="en-GB"/>
        </w:rPr>
        <w:tab/>
        <w:t xml:space="preserve"> </w:t>
      </w:r>
      <w:r w:rsidRPr="00B4081B">
        <w:rPr>
          <w:sz w:val="16"/>
          <w:lang w:val="en-GB"/>
        </w:rPr>
        <w:tab/>
        <w:t xml:space="preserve">Side 2 of 2 </w:t>
      </w:r>
    </w:p>
    <w:p w14:paraId="24DA234A" w14:textId="77777777" w:rsidR="0093685A" w:rsidRPr="00B4081B" w:rsidRDefault="00704B70">
      <w:pPr>
        <w:spacing w:after="0"/>
        <w:ind w:left="566"/>
        <w:rPr>
          <w:lang w:val="en-GB"/>
        </w:rPr>
      </w:pPr>
      <w:r w:rsidRPr="00B4081B">
        <w:rPr>
          <w:sz w:val="16"/>
          <w:lang w:val="en-GB"/>
        </w:rPr>
        <w:t xml:space="preserve"> </w:t>
      </w:r>
    </w:p>
    <w:sectPr w:rsidR="0093685A" w:rsidRPr="00B4081B">
      <w:headerReference w:type="default" r:id="rId12"/>
      <w:pgSz w:w="11904" w:h="16840"/>
      <w:pgMar w:top="751" w:right="1275" w:bottom="556" w:left="11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1075" w14:textId="77777777" w:rsidR="008263D1" w:rsidRDefault="008263D1" w:rsidP="00FB7815">
      <w:pPr>
        <w:spacing w:after="0" w:line="240" w:lineRule="auto"/>
      </w:pPr>
      <w:r>
        <w:separator/>
      </w:r>
    </w:p>
  </w:endnote>
  <w:endnote w:type="continuationSeparator" w:id="0">
    <w:p w14:paraId="051854F9" w14:textId="77777777" w:rsidR="008263D1" w:rsidRDefault="008263D1" w:rsidP="00FB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DDAD" w14:textId="77777777" w:rsidR="008263D1" w:rsidRDefault="008263D1" w:rsidP="00FB7815">
      <w:pPr>
        <w:spacing w:after="0" w:line="240" w:lineRule="auto"/>
      </w:pPr>
      <w:r>
        <w:separator/>
      </w:r>
    </w:p>
  </w:footnote>
  <w:footnote w:type="continuationSeparator" w:id="0">
    <w:p w14:paraId="7668F234" w14:textId="77777777" w:rsidR="008263D1" w:rsidRDefault="008263D1" w:rsidP="00FB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5105" w14:textId="77777777" w:rsidR="00FB7815" w:rsidRDefault="00FB7815">
    <w:pPr>
      <w:pStyle w:val="Topptekst"/>
    </w:pPr>
    <w:r>
      <w:rPr>
        <w:noProof/>
        <w:color w:val="1F497D"/>
      </w:rPr>
      <w:drawing>
        <wp:inline distT="0" distB="0" distL="0" distR="0" wp14:anchorId="2EDF78B0" wp14:editId="4E25B1EE">
          <wp:extent cx="1564640" cy="365760"/>
          <wp:effectExtent l="0" t="0" r="0" b="0"/>
          <wp:docPr id="1" name="Bilde 1" descr="USN_logo_rgb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USN_logo_rgb_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4640"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F7F"/>
    <w:multiLevelType w:val="hybridMultilevel"/>
    <w:tmpl w:val="1CD460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BB5112"/>
    <w:multiLevelType w:val="hybridMultilevel"/>
    <w:tmpl w:val="3AA2E576"/>
    <w:lvl w:ilvl="0" w:tplc="D07A52EA">
      <w:start w:val="1"/>
      <w:numFmt w:val="decimal"/>
      <w:lvlText w:val="%1."/>
      <w:lvlJc w:val="left"/>
      <w:pPr>
        <w:ind w:left="361" w:hanging="360"/>
      </w:pPr>
      <w:rPr>
        <w:rFonts w:hint="default"/>
      </w:rPr>
    </w:lvl>
    <w:lvl w:ilvl="1" w:tplc="04140019" w:tentative="1">
      <w:start w:val="1"/>
      <w:numFmt w:val="lowerLetter"/>
      <w:lvlText w:val="%2."/>
      <w:lvlJc w:val="left"/>
      <w:pPr>
        <w:ind w:left="1081" w:hanging="360"/>
      </w:pPr>
    </w:lvl>
    <w:lvl w:ilvl="2" w:tplc="0414001B" w:tentative="1">
      <w:start w:val="1"/>
      <w:numFmt w:val="lowerRoman"/>
      <w:lvlText w:val="%3."/>
      <w:lvlJc w:val="right"/>
      <w:pPr>
        <w:ind w:left="1801" w:hanging="180"/>
      </w:pPr>
    </w:lvl>
    <w:lvl w:ilvl="3" w:tplc="0414000F" w:tentative="1">
      <w:start w:val="1"/>
      <w:numFmt w:val="decimal"/>
      <w:lvlText w:val="%4."/>
      <w:lvlJc w:val="left"/>
      <w:pPr>
        <w:ind w:left="2521" w:hanging="360"/>
      </w:pPr>
    </w:lvl>
    <w:lvl w:ilvl="4" w:tplc="04140019" w:tentative="1">
      <w:start w:val="1"/>
      <w:numFmt w:val="lowerLetter"/>
      <w:lvlText w:val="%5."/>
      <w:lvlJc w:val="left"/>
      <w:pPr>
        <w:ind w:left="3241" w:hanging="360"/>
      </w:pPr>
    </w:lvl>
    <w:lvl w:ilvl="5" w:tplc="0414001B" w:tentative="1">
      <w:start w:val="1"/>
      <w:numFmt w:val="lowerRoman"/>
      <w:lvlText w:val="%6."/>
      <w:lvlJc w:val="right"/>
      <w:pPr>
        <w:ind w:left="3961" w:hanging="180"/>
      </w:pPr>
    </w:lvl>
    <w:lvl w:ilvl="6" w:tplc="0414000F" w:tentative="1">
      <w:start w:val="1"/>
      <w:numFmt w:val="decimal"/>
      <w:lvlText w:val="%7."/>
      <w:lvlJc w:val="left"/>
      <w:pPr>
        <w:ind w:left="4681" w:hanging="360"/>
      </w:pPr>
    </w:lvl>
    <w:lvl w:ilvl="7" w:tplc="04140019" w:tentative="1">
      <w:start w:val="1"/>
      <w:numFmt w:val="lowerLetter"/>
      <w:lvlText w:val="%8."/>
      <w:lvlJc w:val="left"/>
      <w:pPr>
        <w:ind w:left="5401" w:hanging="360"/>
      </w:pPr>
    </w:lvl>
    <w:lvl w:ilvl="8" w:tplc="0414001B" w:tentative="1">
      <w:start w:val="1"/>
      <w:numFmt w:val="lowerRoman"/>
      <w:lvlText w:val="%9."/>
      <w:lvlJc w:val="right"/>
      <w:pPr>
        <w:ind w:left="6121" w:hanging="180"/>
      </w:pPr>
    </w:lvl>
  </w:abstractNum>
  <w:abstractNum w:abstractNumId="2" w15:restartNumberingAfterBreak="0">
    <w:nsid w:val="58284493"/>
    <w:multiLevelType w:val="hybridMultilevel"/>
    <w:tmpl w:val="4A04FE10"/>
    <w:lvl w:ilvl="0" w:tplc="60F28704">
      <w:start w:val="1"/>
      <w:numFmt w:val="decimal"/>
      <w:lvlText w:val="(%1)"/>
      <w:lvlJc w:val="left"/>
      <w:pPr>
        <w:ind w:left="926" w:hanging="360"/>
      </w:pPr>
      <w:rPr>
        <w:rFonts w:hint="default"/>
      </w:rPr>
    </w:lvl>
    <w:lvl w:ilvl="1" w:tplc="04140019" w:tentative="1">
      <w:start w:val="1"/>
      <w:numFmt w:val="lowerLetter"/>
      <w:lvlText w:val="%2."/>
      <w:lvlJc w:val="left"/>
      <w:pPr>
        <w:ind w:left="1646" w:hanging="360"/>
      </w:pPr>
    </w:lvl>
    <w:lvl w:ilvl="2" w:tplc="0414001B" w:tentative="1">
      <w:start w:val="1"/>
      <w:numFmt w:val="lowerRoman"/>
      <w:lvlText w:val="%3."/>
      <w:lvlJc w:val="right"/>
      <w:pPr>
        <w:ind w:left="2366" w:hanging="180"/>
      </w:pPr>
    </w:lvl>
    <w:lvl w:ilvl="3" w:tplc="0414000F" w:tentative="1">
      <w:start w:val="1"/>
      <w:numFmt w:val="decimal"/>
      <w:lvlText w:val="%4."/>
      <w:lvlJc w:val="left"/>
      <w:pPr>
        <w:ind w:left="3086" w:hanging="360"/>
      </w:pPr>
    </w:lvl>
    <w:lvl w:ilvl="4" w:tplc="04140019" w:tentative="1">
      <w:start w:val="1"/>
      <w:numFmt w:val="lowerLetter"/>
      <w:lvlText w:val="%5."/>
      <w:lvlJc w:val="left"/>
      <w:pPr>
        <w:ind w:left="3806" w:hanging="360"/>
      </w:pPr>
    </w:lvl>
    <w:lvl w:ilvl="5" w:tplc="0414001B" w:tentative="1">
      <w:start w:val="1"/>
      <w:numFmt w:val="lowerRoman"/>
      <w:lvlText w:val="%6."/>
      <w:lvlJc w:val="right"/>
      <w:pPr>
        <w:ind w:left="4526" w:hanging="180"/>
      </w:pPr>
    </w:lvl>
    <w:lvl w:ilvl="6" w:tplc="0414000F" w:tentative="1">
      <w:start w:val="1"/>
      <w:numFmt w:val="decimal"/>
      <w:lvlText w:val="%7."/>
      <w:lvlJc w:val="left"/>
      <w:pPr>
        <w:ind w:left="5246" w:hanging="360"/>
      </w:pPr>
    </w:lvl>
    <w:lvl w:ilvl="7" w:tplc="04140019" w:tentative="1">
      <w:start w:val="1"/>
      <w:numFmt w:val="lowerLetter"/>
      <w:lvlText w:val="%8."/>
      <w:lvlJc w:val="left"/>
      <w:pPr>
        <w:ind w:left="5966" w:hanging="360"/>
      </w:pPr>
    </w:lvl>
    <w:lvl w:ilvl="8" w:tplc="0414001B" w:tentative="1">
      <w:start w:val="1"/>
      <w:numFmt w:val="lowerRoman"/>
      <w:lvlText w:val="%9."/>
      <w:lvlJc w:val="right"/>
      <w:pPr>
        <w:ind w:left="6686" w:hanging="180"/>
      </w:pPr>
    </w:lvl>
  </w:abstractNum>
  <w:abstractNum w:abstractNumId="3" w15:restartNumberingAfterBreak="0">
    <w:nsid w:val="5E147E5A"/>
    <w:multiLevelType w:val="hybridMultilevel"/>
    <w:tmpl w:val="8EEC8622"/>
    <w:lvl w:ilvl="0" w:tplc="E416B8D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FE2610"/>
    <w:multiLevelType w:val="hybridMultilevel"/>
    <w:tmpl w:val="843C5432"/>
    <w:lvl w:ilvl="0" w:tplc="FAD679D6">
      <w:start w:val="1"/>
      <w:numFmt w:val="decimal"/>
      <w:lvlText w:val="(%1)"/>
      <w:lvlJc w:val="left"/>
      <w:pPr>
        <w:ind w:left="926" w:hanging="360"/>
      </w:pPr>
      <w:rPr>
        <w:rFonts w:hint="default"/>
        <w:i/>
      </w:rPr>
    </w:lvl>
    <w:lvl w:ilvl="1" w:tplc="04140019" w:tentative="1">
      <w:start w:val="1"/>
      <w:numFmt w:val="lowerLetter"/>
      <w:lvlText w:val="%2."/>
      <w:lvlJc w:val="left"/>
      <w:pPr>
        <w:ind w:left="1646" w:hanging="360"/>
      </w:pPr>
    </w:lvl>
    <w:lvl w:ilvl="2" w:tplc="0414001B" w:tentative="1">
      <w:start w:val="1"/>
      <w:numFmt w:val="lowerRoman"/>
      <w:lvlText w:val="%3."/>
      <w:lvlJc w:val="right"/>
      <w:pPr>
        <w:ind w:left="2366" w:hanging="180"/>
      </w:pPr>
    </w:lvl>
    <w:lvl w:ilvl="3" w:tplc="0414000F" w:tentative="1">
      <w:start w:val="1"/>
      <w:numFmt w:val="decimal"/>
      <w:lvlText w:val="%4."/>
      <w:lvlJc w:val="left"/>
      <w:pPr>
        <w:ind w:left="3086" w:hanging="360"/>
      </w:pPr>
    </w:lvl>
    <w:lvl w:ilvl="4" w:tplc="04140019" w:tentative="1">
      <w:start w:val="1"/>
      <w:numFmt w:val="lowerLetter"/>
      <w:lvlText w:val="%5."/>
      <w:lvlJc w:val="left"/>
      <w:pPr>
        <w:ind w:left="3806" w:hanging="360"/>
      </w:pPr>
    </w:lvl>
    <w:lvl w:ilvl="5" w:tplc="0414001B" w:tentative="1">
      <w:start w:val="1"/>
      <w:numFmt w:val="lowerRoman"/>
      <w:lvlText w:val="%6."/>
      <w:lvlJc w:val="right"/>
      <w:pPr>
        <w:ind w:left="4526" w:hanging="180"/>
      </w:pPr>
    </w:lvl>
    <w:lvl w:ilvl="6" w:tplc="0414000F" w:tentative="1">
      <w:start w:val="1"/>
      <w:numFmt w:val="decimal"/>
      <w:lvlText w:val="%7."/>
      <w:lvlJc w:val="left"/>
      <w:pPr>
        <w:ind w:left="5246" w:hanging="360"/>
      </w:pPr>
    </w:lvl>
    <w:lvl w:ilvl="7" w:tplc="04140019" w:tentative="1">
      <w:start w:val="1"/>
      <w:numFmt w:val="lowerLetter"/>
      <w:lvlText w:val="%8."/>
      <w:lvlJc w:val="left"/>
      <w:pPr>
        <w:ind w:left="5966" w:hanging="360"/>
      </w:pPr>
    </w:lvl>
    <w:lvl w:ilvl="8" w:tplc="0414001B" w:tentative="1">
      <w:start w:val="1"/>
      <w:numFmt w:val="lowerRoman"/>
      <w:lvlText w:val="%9."/>
      <w:lvlJc w:val="right"/>
      <w:pPr>
        <w:ind w:left="6686" w:hanging="180"/>
      </w:pPr>
    </w:lvl>
  </w:abstractNum>
  <w:num w:numId="1" w16cid:durableId="839663277">
    <w:abstractNumId w:val="4"/>
  </w:num>
  <w:num w:numId="2" w16cid:durableId="131797111">
    <w:abstractNumId w:val="3"/>
  </w:num>
  <w:num w:numId="3" w16cid:durableId="428088392">
    <w:abstractNumId w:val="0"/>
  </w:num>
  <w:num w:numId="4" w16cid:durableId="720594493">
    <w:abstractNumId w:val="1"/>
  </w:num>
  <w:num w:numId="5" w16cid:durableId="24913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5A"/>
    <w:rsid w:val="000D23DD"/>
    <w:rsid w:val="00132C00"/>
    <w:rsid w:val="00141593"/>
    <w:rsid w:val="0016793E"/>
    <w:rsid w:val="001C7643"/>
    <w:rsid w:val="001F43B2"/>
    <w:rsid w:val="00233DAC"/>
    <w:rsid w:val="002B26AC"/>
    <w:rsid w:val="002B4CC8"/>
    <w:rsid w:val="002C203D"/>
    <w:rsid w:val="002E17CD"/>
    <w:rsid w:val="00324046"/>
    <w:rsid w:val="003B6D30"/>
    <w:rsid w:val="004047A1"/>
    <w:rsid w:val="00414304"/>
    <w:rsid w:val="00466B2D"/>
    <w:rsid w:val="004760E6"/>
    <w:rsid w:val="004A22DB"/>
    <w:rsid w:val="004A54D6"/>
    <w:rsid w:val="004B2F9B"/>
    <w:rsid w:val="00573A53"/>
    <w:rsid w:val="00585F8F"/>
    <w:rsid w:val="00654924"/>
    <w:rsid w:val="00692434"/>
    <w:rsid w:val="006A545E"/>
    <w:rsid w:val="006B6DCA"/>
    <w:rsid w:val="007028EF"/>
    <w:rsid w:val="0070415A"/>
    <w:rsid w:val="00704B70"/>
    <w:rsid w:val="007814CA"/>
    <w:rsid w:val="0078160B"/>
    <w:rsid w:val="007A28D9"/>
    <w:rsid w:val="007A562F"/>
    <w:rsid w:val="007D6359"/>
    <w:rsid w:val="007E50E9"/>
    <w:rsid w:val="008033AD"/>
    <w:rsid w:val="008202F6"/>
    <w:rsid w:val="008263D1"/>
    <w:rsid w:val="00847D71"/>
    <w:rsid w:val="00854E9B"/>
    <w:rsid w:val="00860EDF"/>
    <w:rsid w:val="0093685A"/>
    <w:rsid w:val="0096054E"/>
    <w:rsid w:val="00A26A20"/>
    <w:rsid w:val="00A813F6"/>
    <w:rsid w:val="00AD4640"/>
    <w:rsid w:val="00B27BEC"/>
    <w:rsid w:val="00B3586F"/>
    <w:rsid w:val="00B4081B"/>
    <w:rsid w:val="00B55CA0"/>
    <w:rsid w:val="00BE3532"/>
    <w:rsid w:val="00BF07DC"/>
    <w:rsid w:val="00C25B03"/>
    <w:rsid w:val="00CF304B"/>
    <w:rsid w:val="00D43355"/>
    <w:rsid w:val="00D973FA"/>
    <w:rsid w:val="00DD6517"/>
    <w:rsid w:val="00E04192"/>
    <w:rsid w:val="00E14EC8"/>
    <w:rsid w:val="00E24D80"/>
    <w:rsid w:val="00E54999"/>
    <w:rsid w:val="00EE716F"/>
    <w:rsid w:val="00F15183"/>
    <w:rsid w:val="00F452CD"/>
    <w:rsid w:val="00F73445"/>
    <w:rsid w:val="00F800BE"/>
    <w:rsid w:val="00FB7815"/>
    <w:rsid w:val="00FC231F"/>
    <w:rsid w:val="00FD56C9"/>
    <w:rsid w:val="00FF54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079E"/>
  <w15:docId w15:val="{18A11C17-73C7-482E-ADE6-7630DF9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FB78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7815"/>
    <w:rPr>
      <w:rFonts w:ascii="Calibri" w:eastAsia="Calibri" w:hAnsi="Calibri" w:cs="Calibri"/>
      <w:color w:val="000000"/>
    </w:rPr>
  </w:style>
  <w:style w:type="paragraph" w:styleId="Bunntekst">
    <w:name w:val="footer"/>
    <w:basedOn w:val="Normal"/>
    <w:link w:val="BunntekstTegn"/>
    <w:uiPriority w:val="99"/>
    <w:unhideWhenUsed/>
    <w:rsid w:val="00FB78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7815"/>
    <w:rPr>
      <w:rFonts w:ascii="Calibri" w:eastAsia="Calibri" w:hAnsi="Calibri" w:cs="Calibri"/>
      <w:color w:val="000000"/>
    </w:rPr>
  </w:style>
  <w:style w:type="character" w:styleId="Hyperkobling">
    <w:name w:val="Hyperlink"/>
    <w:basedOn w:val="Standardskriftforavsnitt"/>
    <w:uiPriority w:val="99"/>
    <w:unhideWhenUsed/>
    <w:rsid w:val="00EE716F"/>
    <w:rPr>
      <w:color w:val="0563C1" w:themeColor="hyperlink"/>
      <w:u w:val="single"/>
    </w:rPr>
  </w:style>
  <w:style w:type="paragraph" w:styleId="Bobletekst">
    <w:name w:val="Balloon Text"/>
    <w:basedOn w:val="Normal"/>
    <w:link w:val="BobletekstTegn"/>
    <w:uiPriority w:val="99"/>
    <w:semiHidden/>
    <w:unhideWhenUsed/>
    <w:rsid w:val="00585F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5F8F"/>
    <w:rPr>
      <w:rFonts w:ascii="Segoe UI" w:eastAsia="Calibri" w:hAnsi="Segoe UI" w:cs="Segoe UI"/>
      <w:color w:val="000000"/>
      <w:sz w:val="18"/>
      <w:szCs w:val="18"/>
    </w:rPr>
  </w:style>
  <w:style w:type="paragraph" w:styleId="Listeavsnitt">
    <w:name w:val="List Paragraph"/>
    <w:basedOn w:val="Normal"/>
    <w:uiPriority w:val="34"/>
    <w:qFormat/>
    <w:rsid w:val="00B3586F"/>
    <w:pPr>
      <w:ind w:left="720"/>
      <w:contextualSpacing/>
    </w:pPr>
  </w:style>
  <w:style w:type="character" w:styleId="Merknadsreferanse">
    <w:name w:val="annotation reference"/>
    <w:basedOn w:val="Standardskriftforavsnitt"/>
    <w:uiPriority w:val="99"/>
    <w:semiHidden/>
    <w:unhideWhenUsed/>
    <w:rsid w:val="006A545E"/>
    <w:rPr>
      <w:sz w:val="16"/>
      <w:szCs w:val="16"/>
    </w:rPr>
  </w:style>
  <w:style w:type="paragraph" w:styleId="Merknadstekst">
    <w:name w:val="annotation text"/>
    <w:basedOn w:val="Normal"/>
    <w:link w:val="MerknadstekstTegn"/>
    <w:uiPriority w:val="99"/>
    <w:semiHidden/>
    <w:unhideWhenUsed/>
    <w:rsid w:val="006A54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A545E"/>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6A545E"/>
    <w:rPr>
      <w:b/>
      <w:bCs/>
    </w:rPr>
  </w:style>
  <w:style w:type="character" w:customStyle="1" w:styleId="KommentaremneTegn">
    <w:name w:val="Kommentaremne Tegn"/>
    <w:basedOn w:val="MerknadstekstTegn"/>
    <w:link w:val="Kommentaremne"/>
    <w:uiPriority w:val="99"/>
    <w:semiHidden/>
    <w:rsid w:val="006A545E"/>
    <w:rPr>
      <w:rFonts w:ascii="Calibri" w:eastAsia="Calibri" w:hAnsi="Calibri" w:cs="Calibri"/>
      <w:b/>
      <w:bCs/>
      <w:color w:val="000000"/>
      <w:sz w:val="20"/>
      <w:szCs w:val="20"/>
    </w:rPr>
  </w:style>
  <w:style w:type="character" w:styleId="Ulstomtale">
    <w:name w:val="Unresolved Mention"/>
    <w:basedOn w:val="Standardskriftforavsnitt"/>
    <w:uiPriority w:val="99"/>
    <w:semiHidden/>
    <w:unhideWhenUsed/>
    <w:rsid w:val="00B4081B"/>
    <w:rPr>
      <w:color w:val="605E5C"/>
      <w:shd w:val="clear" w:color="auto" w:fill="E1DFDD"/>
    </w:rPr>
  </w:style>
  <w:style w:type="character" w:styleId="Fulgthyperkobling">
    <w:name w:val="FollowedHyperlink"/>
    <w:basedOn w:val="Standardskriftforavsnitt"/>
    <w:uiPriority w:val="99"/>
    <w:semiHidden/>
    <w:unhideWhenUsed/>
    <w:rsid w:val="00F45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usn.no%2Fgetfile.php%2F13699101-1645698053%2Fusn.no%2Fen%2FResearch%2FPhD%2520programmes%2FPerson-centered%2520health%2520care%2FMidterm%2520evaluation%2520form%2520for%2520the%2520candidate.docx&amp;wdOrigin=BROWSELINK" TargetMode="External"/><Relationship Id="rId5" Type="http://schemas.openxmlformats.org/officeDocument/2006/relationships/webSettings" Target="webSettings.xml"/><Relationship Id="rId10" Type="http://schemas.openxmlformats.org/officeDocument/2006/relationships/hyperlink" Target="https://lovdata.no/forskrift/2017-12-14-2411/&#167;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D5E.5CEBA6B0"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6582-4844-4E97-B505-2EB5410A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4025</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guidelines_PhD Thesis  (1) (003) rettet</vt:lpstr>
      <vt:lpstr>Microsoft Word - guidelines_PhD Thesis  (1) (003) rettet</vt:lpstr>
    </vt:vector>
  </TitlesOfParts>
  <Company>USN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guidelines_PhD Thesis  (1) (003) rettet</dc:title>
  <dc:subject/>
  <dc:creator>inh</dc:creator>
  <cp:keywords/>
  <cp:lastModifiedBy>Nataliia Katcarskaia</cp:lastModifiedBy>
  <cp:revision>2</cp:revision>
  <cp:lastPrinted>2020-01-16T08:46:00Z</cp:lastPrinted>
  <dcterms:created xsi:type="dcterms:W3CDTF">2024-02-13T09:51:00Z</dcterms:created>
  <dcterms:modified xsi:type="dcterms:W3CDTF">2024-02-13T09:51:00Z</dcterms:modified>
</cp:coreProperties>
</file>