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6AD13E1C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18344A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31D6C40D" w:rsidR="004C793A" w:rsidRPr="00753C4A" w:rsidRDefault="00B839E9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Samfunnsfag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112681">
        <w:rPr>
          <w:b/>
          <w:bCs/>
          <w:color w:val="303030"/>
          <w:kern w:val="36"/>
          <w:sz w:val="36"/>
          <w:szCs w:val="36"/>
        </w:rPr>
        <w:t>2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755D682D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="001373DB" w:rsidRPr="00B839E9">
          <w:rPr>
            <w:rStyle w:val="Hyperkobling"/>
          </w:rPr>
          <w:t>her</w:t>
        </w:r>
      </w:hyperlink>
    </w:p>
    <w:p w14:paraId="6B2AAF11" w14:textId="524D2605" w:rsidR="004C793A" w:rsidRPr="00047042" w:rsidRDefault="004C793A" w:rsidP="004C793A">
      <w:pPr>
        <w:jc w:val="center"/>
      </w:pPr>
      <w:r>
        <w:t xml:space="preserve">Læreplan i </w:t>
      </w:r>
      <w:r w:rsidR="00B839E9">
        <w:t>samfunnsfag</w:t>
      </w:r>
      <w:r>
        <w:t xml:space="preserve"> </w:t>
      </w:r>
      <w:hyperlink r:id="rId12" w:history="1">
        <w:r w:rsidRPr="00B839E9">
          <w:rPr>
            <w:rStyle w:val="Hyperkobling"/>
          </w:rPr>
          <w:t>her</w:t>
        </w:r>
      </w:hyperlink>
    </w:p>
    <w:p w14:paraId="76C30784" w14:textId="6515D0E6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 xml:space="preserve">som kan hjelpe deltakeren til å komme i mål (Oppll.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8C49B9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8C49B9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8C49B9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8C49B9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8C49B9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8C49B9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8C49B9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8C49B9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8C49B9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8C49B9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8C49B9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8C49B9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8C49B9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8C49B9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8C49B9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8C49B9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8C49B9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8C49B9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8C49B9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8C49B9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8C49B9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8C49B9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8C49B9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8C49B9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8C49B9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8C49B9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hyperlink r:id="rId13" w:history="1">
              <w:r w:rsidR="00645B2F" w:rsidRPr="00645B2F">
                <w:rPr>
                  <w:rStyle w:val="Hyperkobling"/>
                </w:rPr>
                <w:t>Oppll. § 19-5</w:t>
              </w:r>
            </w:hyperlink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8C49B9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8C49B9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8C49B9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8C49B9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8C49B9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8C49B9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8C49B9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8C49B9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8C49B9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8C49B9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8C49B9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8C49B9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8C49B9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8C49B9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8C49B9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8C49B9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8C49B9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8C49B9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8C49B9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8C49B9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8C49B9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8C49B9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8C49B9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4DD67A7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>– l</w:t>
            </w:r>
            <w:r w:rsidR="005F61C3">
              <w:rPr>
                <w:b/>
                <w:bCs/>
              </w:rPr>
              <w:t xml:space="preserve">egg gjerne inn lenke til </w:t>
            </w:r>
            <w:r>
              <w:rPr>
                <w:b/>
                <w:bCs/>
              </w:rPr>
              <w:t>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Copilot,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r w:rsidRPr="00382E00">
              <w:rPr>
                <w:b/>
                <w:bCs/>
              </w:rPr>
              <w:t>Framovermelding</w:t>
            </w:r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framovermelding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34E0E2C8" w14:textId="77777777" w:rsidR="008E26EB" w:rsidRDefault="008E26EB" w:rsidP="00B868FA"/>
          <w:p w14:paraId="7CCD06BF" w14:textId="77777777" w:rsidR="008E26EB" w:rsidRDefault="008E26EB" w:rsidP="00B868FA"/>
          <w:p w14:paraId="7B9D07AA" w14:textId="77777777" w:rsidR="008E26EB" w:rsidRDefault="008E26EB" w:rsidP="00B868FA"/>
          <w:p w14:paraId="63B6C1C4" w14:textId="77777777" w:rsidR="008E26EB" w:rsidRDefault="008E26EB" w:rsidP="00B868FA"/>
          <w:p w14:paraId="74CFCA6A" w14:textId="77777777" w:rsidR="008E26EB" w:rsidRDefault="008E26EB" w:rsidP="00B868FA"/>
          <w:p w14:paraId="116EA368" w14:textId="77777777" w:rsidR="008E26EB" w:rsidRDefault="008E26EB" w:rsidP="00B868FA"/>
          <w:p w14:paraId="20CD2825" w14:textId="77777777" w:rsidR="008E26EB" w:rsidRDefault="008E26EB" w:rsidP="00B868FA"/>
          <w:p w14:paraId="37A37FE5" w14:textId="77777777" w:rsidR="008E26EB" w:rsidRDefault="008E26EB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3DA0DBD2" w14:textId="77777777" w:rsidR="008E26EB" w:rsidRDefault="008E26EB" w:rsidP="00CE3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bookmarkStart w:id="0" w:name="_Hlk161649776"/>
      <w:bookmarkStart w:id="1" w:name="_Hlk161649496"/>
      <w:bookmarkStart w:id="2" w:name="_Hlk161649638"/>
    </w:p>
    <w:p w14:paraId="22249482" w14:textId="479F1978" w:rsidR="00CE31FD" w:rsidRPr="000E0A4E" w:rsidRDefault="000E0A4E" w:rsidP="00CE31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</w:rPr>
      </w:pPr>
      <w:r w:rsidRPr="000E0A4E">
        <w:rPr>
          <w:rStyle w:val="normaltextrun"/>
          <w:rFonts w:asciiTheme="minorHAnsi" w:hAnsiTheme="minorHAnsi" w:cs="Calibri"/>
          <w:b/>
          <w:bCs/>
        </w:rPr>
        <w:t>Kompetansemål i hver kjerne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39E9" w:rsidRPr="00335EBE" w14:paraId="6E856B19" w14:textId="77777777" w:rsidTr="009C4DFF">
        <w:tc>
          <w:tcPr>
            <w:tcW w:w="9062" w:type="dxa"/>
            <w:shd w:val="clear" w:color="auto" w:fill="F6C5AC" w:themeFill="accent2" w:themeFillTint="66"/>
          </w:tcPr>
          <w:bookmarkEnd w:id="0"/>
          <w:bookmarkEnd w:id="1"/>
          <w:bookmarkEnd w:id="2"/>
          <w:p w14:paraId="37F9357A" w14:textId="77777777" w:rsidR="00B839E9" w:rsidRPr="00335EBE" w:rsidRDefault="00B839E9" w:rsidP="009C4DFF">
            <w:pPr>
              <w:rPr>
                <w:rFonts w:cs="Arial"/>
                <w:b/>
                <w:bCs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Utforsking og kritisk tenkning</w:t>
            </w:r>
          </w:p>
        </w:tc>
      </w:tr>
      <w:tr w:rsidR="00B839E9" w:rsidRPr="00335EBE" w14:paraId="6CE0920B" w14:textId="77777777" w:rsidTr="009C4DFF">
        <w:tc>
          <w:tcPr>
            <w:tcW w:w="9062" w:type="dxa"/>
          </w:tcPr>
          <w:p w14:paraId="76143BCA" w14:textId="69BA6AC3" w:rsidR="00361C37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forstå og bruke informasjon fra tilrettelagte og enkle autentiske kilder som er relevante for faget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F9EA2FE" wp14:editId="73DFB02E">
                  <wp:extent cx="128270" cy="140335"/>
                  <wp:effectExtent l="0" t="0" r="5080" b="0"/>
                  <wp:docPr id="577935874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06B1197" w14:textId="720E8901" w:rsidR="00361C37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samtale om betydningen av nettvett og personvern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2AAEC77" wp14:editId="623E69DE">
                  <wp:extent cx="128270" cy="140335"/>
                  <wp:effectExtent l="0" t="0" r="5080" b="0"/>
                  <wp:docPr id="1178386913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FE8BCD" w14:textId="630552AF" w:rsidR="00361C37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bruke fysiske og digitale kart som verktøy i hverdagen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37F45F5" wp14:editId="44AB7915">
                  <wp:extent cx="128270" cy="140335"/>
                  <wp:effectExtent l="0" t="0" r="5080" b="0"/>
                  <wp:docPr id="1042518086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E41F790" wp14:editId="23C3300C">
                  <wp:extent cx="158750" cy="146050"/>
                  <wp:effectExtent l="0" t="0" r="0" b="6350"/>
                  <wp:docPr id="1034229299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686D57" w14:textId="77777777" w:rsidR="00B839E9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samtale med støtte om fordommer, diskriminering og rasisme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B806DA6" wp14:editId="28FB3985">
                  <wp:extent cx="128270" cy="140335"/>
                  <wp:effectExtent l="0" t="0" r="5080" b="0"/>
                  <wp:docPr id="1725927906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A20C624" wp14:editId="565E45F1">
                  <wp:extent cx="146050" cy="133985"/>
                  <wp:effectExtent l="0" t="0" r="6350" b="0"/>
                  <wp:docPr id="86476186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4923A2" w14:textId="77777777" w:rsidR="00CE6E4C" w:rsidRDefault="00CE6E4C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sz w:val="22"/>
                <w:szCs w:val="22"/>
              </w:rPr>
              <w:t>forklare begrepet urfolk på en enkel måte og fortelle med støtte om samene som urfolk i Norge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3FDAC4B" wp14:editId="55C77C15">
                  <wp:extent cx="128270" cy="140335"/>
                  <wp:effectExtent l="0" t="0" r="5080" b="0"/>
                  <wp:docPr id="97902224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56F3E5BF" wp14:editId="65C1BEC1">
                  <wp:extent cx="146050" cy="133985"/>
                  <wp:effectExtent l="0" t="0" r="6350" b="0"/>
                  <wp:docPr id="38435532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EE0D24" w14:textId="77777777" w:rsidR="00CE6E4C" w:rsidRDefault="00CE6E4C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sz w:val="22"/>
                <w:szCs w:val="22"/>
              </w:rPr>
              <w:t>reflektere over, med utgangspunkt i egne eller andres erfaringer, hvor og hvorfor mennesker flytter og flykter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FF4DD32" wp14:editId="1FD6B191">
                  <wp:extent cx="128270" cy="140335"/>
                  <wp:effectExtent l="0" t="0" r="5080" b="0"/>
                  <wp:docPr id="1462646471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8AAFDD7" wp14:editId="22D8D675">
                  <wp:extent cx="146050" cy="133985"/>
                  <wp:effectExtent l="0" t="0" r="6350" b="0"/>
                  <wp:docPr id="184580553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6A0008E" wp14:editId="43420819">
                  <wp:extent cx="158750" cy="146050"/>
                  <wp:effectExtent l="0" t="0" r="0" b="6350"/>
                  <wp:docPr id="134034553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58EF49" w14:textId="5376699A" w:rsidR="00C9123F" w:rsidRPr="00335EBE" w:rsidRDefault="00C9123F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C9123F">
              <w:rPr>
                <w:rFonts w:asciiTheme="minorHAnsi" w:hAnsiTheme="minorHAnsi" w:cs="Arial"/>
                <w:sz w:val="22"/>
                <w:szCs w:val="22"/>
              </w:rPr>
              <w:t>utforske lokale kulturminner og sammenlikne med andre kulturminner deltakeren kjenner til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DD118D3" wp14:editId="49B22121">
                  <wp:extent cx="128270" cy="140335"/>
                  <wp:effectExtent l="0" t="0" r="5080" b="0"/>
                  <wp:docPr id="132300496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3D097484" wp14:editId="2EC7C6B1">
                  <wp:extent cx="146050" cy="133985"/>
                  <wp:effectExtent l="0" t="0" r="6350" b="0"/>
                  <wp:docPr id="13222808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9E9" w:rsidRPr="00335EBE" w14:paraId="0253BFBB" w14:textId="77777777" w:rsidTr="009C4DFF">
        <w:tc>
          <w:tcPr>
            <w:tcW w:w="9062" w:type="dxa"/>
            <w:shd w:val="clear" w:color="auto" w:fill="D1D1D1" w:themeFill="background2" w:themeFillShade="E6"/>
          </w:tcPr>
          <w:p w14:paraId="7E4F979E" w14:textId="77777777" w:rsidR="00B839E9" w:rsidRPr="000A2A64" w:rsidRDefault="00B839E9" w:rsidP="009C4DFF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Demokrati, makt og medborgerskap</w:t>
            </w:r>
          </w:p>
          <w:p w14:paraId="4E7890B1" w14:textId="77777777" w:rsidR="00B839E9" w:rsidRPr="00335EBE" w:rsidRDefault="00B839E9" w:rsidP="009C4DFF">
            <w:pPr>
              <w:rPr>
                <w:rFonts w:cs="Arial"/>
                <w:b/>
                <w:bCs/>
              </w:rPr>
            </w:pPr>
          </w:p>
        </w:tc>
      </w:tr>
      <w:tr w:rsidR="00B839E9" w:rsidRPr="00335EBE" w14:paraId="23C782A6" w14:textId="77777777" w:rsidTr="009C4DFF">
        <w:tc>
          <w:tcPr>
            <w:tcW w:w="9062" w:type="dxa"/>
          </w:tcPr>
          <w:p w14:paraId="7C27E675" w14:textId="76696135" w:rsidR="00361C37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på en enkel måte hvordan Norge styres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3C3241E" wp14:editId="304D6219">
                  <wp:extent cx="146050" cy="133985"/>
                  <wp:effectExtent l="0" t="0" r="6350" b="0"/>
                  <wp:docPr id="189284185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7D8CC32" w14:textId="1DC516FC" w:rsidR="00361C37" w:rsidRDefault="00361C37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med støtte om betydningen av ytringsfrihet, likestilling og andre menneskerettigheter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D0F8B34" wp14:editId="485C1292">
                  <wp:extent cx="146050" cy="133985"/>
                  <wp:effectExtent l="0" t="0" r="6350" b="0"/>
                  <wp:docPr id="62165553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CBB847" w14:textId="77777777" w:rsidR="00B839E9" w:rsidRPr="00CE6E4C" w:rsidRDefault="00361C37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samtale med støtte om fordommer, diskriminering og rasisme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07AA3F7" wp14:editId="5BF13756">
                  <wp:extent cx="128270" cy="140335"/>
                  <wp:effectExtent l="0" t="0" r="5080" b="0"/>
                  <wp:docPr id="175333617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FE4BAB4" wp14:editId="14DB6AC7">
                  <wp:extent cx="146050" cy="133985"/>
                  <wp:effectExtent l="0" t="0" r="6350" b="0"/>
                  <wp:docPr id="150535387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9093BF" w14:textId="77777777" w:rsidR="00CE6E4C" w:rsidRPr="00CE6E4C" w:rsidRDefault="00CE6E4C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sz w:val="22"/>
                <w:szCs w:val="22"/>
              </w:rPr>
              <w:t>forklare begrepet urfolk på en enkel måte og fortelle med støtte om samene som urfolk i Norge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4880EB77" wp14:editId="14D60468">
                  <wp:extent cx="128270" cy="140335"/>
                  <wp:effectExtent l="0" t="0" r="5080" b="0"/>
                  <wp:docPr id="137375474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173CAE4" wp14:editId="023B871D">
                  <wp:extent cx="146050" cy="133985"/>
                  <wp:effectExtent l="0" t="0" r="6350" b="0"/>
                  <wp:docPr id="40702562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E0035A" w14:textId="77777777" w:rsidR="00CE6E4C" w:rsidRDefault="00CE6E4C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med støtte om erfaringer med skrevne og uskrevne regler som regulerer forhold mellom mennesker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7E5BE13B" wp14:editId="25DC8B7F">
                  <wp:extent cx="146050" cy="133985"/>
                  <wp:effectExtent l="0" t="0" r="6350" b="0"/>
                  <wp:docPr id="567960691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2C629C" w14:textId="77777777" w:rsidR="00C9123F" w:rsidRPr="00C9123F" w:rsidRDefault="00C9123F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sz w:val="22"/>
                <w:szCs w:val="22"/>
              </w:rPr>
              <w:t>reflektere over, med utgangspunkt i egne eller andres erfaringer, hvor og hvorfor mennesker flytter og flykter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92B04DE" wp14:editId="726681B3">
                  <wp:extent cx="128270" cy="140335"/>
                  <wp:effectExtent l="0" t="0" r="5080" b="0"/>
                  <wp:docPr id="53947025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18AB40D" wp14:editId="212A32A9">
                  <wp:extent cx="146050" cy="133985"/>
                  <wp:effectExtent l="0" t="0" r="6350" b="0"/>
                  <wp:docPr id="37701166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AE6525C" wp14:editId="20F292E1">
                  <wp:extent cx="158750" cy="146050"/>
                  <wp:effectExtent l="0" t="0" r="0" b="6350"/>
                  <wp:docPr id="2142020616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CCA8B7" w14:textId="77777777" w:rsidR="00C9123F" w:rsidRDefault="00C9123F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9123F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om temaene kjønn og kjønnsroller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3D11AE2" wp14:editId="0800F14C">
                  <wp:extent cx="146050" cy="133985"/>
                  <wp:effectExtent l="0" t="0" r="6350" b="0"/>
                  <wp:docPr id="69608064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EA7D22" w14:textId="77777777" w:rsidR="00C9123F" w:rsidRDefault="00C9123F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9123F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med støtte om negativ sosial kontroll og juridiske og personlige konsekvenser av dette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7541898" wp14:editId="60404905">
                  <wp:extent cx="146050" cy="133985"/>
                  <wp:effectExtent l="0" t="0" r="6350" b="0"/>
                  <wp:docPr id="1781876826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30CA24" w14:textId="38CF4C81" w:rsidR="00C9123F" w:rsidRPr="00335EBE" w:rsidRDefault="00C9123F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9123F">
              <w:rPr>
                <w:rFonts w:asciiTheme="minorHAnsi" w:hAnsiTheme="minorHAnsi" w:cs="Arial"/>
                <w:sz w:val="22"/>
                <w:szCs w:val="22"/>
              </w:rPr>
              <w:t>utforske lokale kulturminner og sammenlikne med andre kulturminner deltakeren kjenner til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03B6D1D3" wp14:editId="179C40C8">
                  <wp:extent cx="128270" cy="140335"/>
                  <wp:effectExtent l="0" t="0" r="5080" b="0"/>
                  <wp:docPr id="1005659756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06DE3D0" wp14:editId="72C99460">
                  <wp:extent cx="146050" cy="133985"/>
                  <wp:effectExtent l="0" t="0" r="6350" b="0"/>
                  <wp:docPr id="1311726402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9E9" w:rsidRPr="00335EBE" w14:paraId="6E95488E" w14:textId="77777777" w:rsidTr="009C4DFF">
        <w:tc>
          <w:tcPr>
            <w:tcW w:w="9062" w:type="dxa"/>
            <w:shd w:val="clear" w:color="auto" w:fill="156082" w:themeFill="accent1"/>
          </w:tcPr>
          <w:p w14:paraId="37EBDD4B" w14:textId="77777777" w:rsidR="00B839E9" w:rsidRPr="00335EBE" w:rsidRDefault="00B839E9" w:rsidP="009C4DFF">
            <w:pPr>
              <w:rPr>
                <w:b/>
                <w:bCs/>
                <w:color w:val="303030"/>
              </w:rPr>
            </w:pPr>
            <w:r w:rsidRPr="00335EBE">
              <w:rPr>
                <w:rFonts w:eastAsia="Times New Roman" w:cs="Arial"/>
                <w:b/>
                <w:bCs/>
                <w:color w:val="303030"/>
                <w:lang w:eastAsia="nb-NO"/>
              </w:rPr>
              <w:lastRenderedPageBreak/>
              <w:t xml:space="preserve">Kjerne: </w:t>
            </w:r>
            <w:r w:rsidRPr="00BC4C7D">
              <w:rPr>
                <w:b/>
                <w:bCs/>
                <w:color w:val="FFFFFF" w:themeColor="background1"/>
              </w:rPr>
              <w:t>Bærekraftige samfunn</w:t>
            </w:r>
          </w:p>
        </w:tc>
      </w:tr>
      <w:tr w:rsidR="00B839E9" w:rsidRPr="00335EBE" w14:paraId="4D195A7B" w14:textId="77777777" w:rsidTr="009C4DFF">
        <w:tc>
          <w:tcPr>
            <w:tcW w:w="9062" w:type="dxa"/>
          </w:tcPr>
          <w:p w14:paraId="0C36239E" w14:textId="77777777" w:rsidR="00361C37" w:rsidRDefault="00361C37" w:rsidP="00361C37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r w:rsidRPr="00361C37">
              <w:rPr>
                <w:rFonts w:asciiTheme="minorHAnsi" w:hAnsiTheme="minorHAnsi" w:cs="Arial"/>
                <w:sz w:val="22"/>
                <w:szCs w:val="22"/>
              </w:rPr>
              <w:t>bruke fysiske og digitale kart som verktøy i hverdagen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4010ED0" wp14:editId="07A1EDB3">
                  <wp:extent cx="128270" cy="140335"/>
                  <wp:effectExtent l="0" t="0" r="5080" b="0"/>
                  <wp:docPr id="831610938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A289EFA" wp14:editId="3367CA71">
                  <wp:extent cx="158750" cy="146050"/>
                  <wp:effectExtent l="0" t="0" r="0" b="6350"/>
                  <wp:docPr id="1838417664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EA5277" w14:textId="77777777" w:rsidR="00B839E9" w:rsidRDefault="00CE6E4C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color w:val="2B2B2B"/>
                <w:sz w:val="22"/>
                <w:szCs w:val="22"/>
              </w:rPr>
              <w:t>samtale med støtte om valg og handlinger som kan bidra til et bærekraftig samfunn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13D87DF0" wp14:editId="736426C4">
                  <wp:extent cx="158750" cy="146050"/>
                  <wp:effectExtent l="0" t="0" r="0" b="6350"/>
                  <wp:docPr id="43077856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0D6645" w14:textId="786A6596" w:rsidR="00C9123F" w:rsidRPr="00335EBE" w:rsidRDefault="00C9123F" w:rsidP="009C4DFF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CE6E4C">
              <w:rPr>
                <w:rFonts w:asciiTheme="minorHAnsi" w:hAnsiTheme="minorHAnsi" w:cs="Arial"/>
                <w:sz w:val="22"/>
                <w:szCs w:val="22"/>
              </w:rPr>
              <w:t>reflektere over, med utgangspunkt i egne eller andres erfaringer, hvor og hvorfor mennesker flytter og flykter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4C81AD6" wp14:editId="2BBA5A96">
                  <wp:extent cx="128270" cy="140335"/>
                  <wp:effectExtent l="0" t="0" r="5080" b="0"/>
                  <wp:docPr id="106942387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2731F3FA" wp14:editId="42697C3C">
                  <wp:extent cx="146050" cy="133985"/>
                  <wp:effectExtent l="0" t="0" r="6350" b="0"/>
                  <wp:docPr id="201749914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ajorEastAsia" w:cs="Arial"/>
                <w:noProof/>
                <w:color w:val="303030"/>
              </w:rPr>
              <w:drawing>
                <wp:inline distT="0" distB="0" distL="0" distR="0" wp14:anchorId="63CFEF66" wp14:editId="3B200195">
                  <wp:extent cx="158750" cy="146050"/>
                  <wp:effectExtent l="0" t="0" r="0" b="6350"/>
                  <wp:docPr id="5219884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9E9" w:rsidRPr="00335EBE" w14:paraId="7E6B50A9" w14:textId="77777777" w:rsidTr="009C4DFF">
        <w:tc>
          <w:tcPr>
            <w:tcW w:w="9062" w:type="dxa"/>
            <w:shd w:val="clear" w:color="auto" w:fill="CAEDFB" w:themeFill="accent4" w:themeFillTint="33"/>
          </w:tcPr>
          <w:p w14:paraId="60B0EC6F" w14:textId="77777777" w:rsidR="00B839E9" w:rsidRPr="00335EBE" w:rsidRDefault="00B839E9" w:rsidP="009C4DFF">
            <w:pPr>
              <w:spacing w:after="160" w:line="278" w:lineRule="auto"/>
              <w:rPr>
                <w:b/>
                <w:bCs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b/>
                <w:bCs/>
                <w:color w:val="303030"/>
              </w:rPr>
              <w:t>Utdanning og arbeidsliv</w:t>
            </w:r>
          </w:p>
        </w:tc>
      </w:tr>
      <w:tr w:rsidR="00B839E9" w:rsidRPr="00335EBE" w14:paraId="55C1EA2C" w14:textId="77777777" w:rsidTr="009C4DFF">
        <w:tc>
          <w:tcPr>
            <w:tcW w:w="9062" w:type="dxa"/>
          </w:tcPr>
          <w:p w14:paraId="15A3B319" w14:textId="77777777" w:rsidR="00B839E9" w:rsidRDefault="00C9123F" w:rsidP="00B839E9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C9123F">
              <w:t>samtale om hvordan egen formell og uformell kompetanse kan brukes i arbeidslivet, og utforske framgangsmåter for å få arbeid</w:t>
            </w:r>
            <w:r>
              <w:t xml:space="preserve"> </w:t>
            </w:r>
            <w:r w:rsidR="00B839E9"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7CD68044" wp14:editId="4C03AFC8">
                  <wp:extent cx="133985" cy="133985"/>
                  <wp:effectExtent l="0" t="0" r="0" b="0"/>
                  <wp:docPr id="156496442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6026AA3" w14:textId="651574AD" w:rsidR="00C9123F" w:rsidRPr="00BC4C7D" w:rsidRDefault="00C9123F" w:rsidP="00B839E9">
            <w:pPr>
              <w:pStyle w:val="Listeavsnitt"/>
              <w:numPr>
                <w:ilvl w:val="0"/>
                <w:numId w:val="5"/>
              </w:numPr>
              <w:spacing w:line="278" w:lineRule="auto"/>
            </w:pPr>
            <w:r w:rsidRPr="00C9123F">
              <w:t>gi eksempler på sentrale plikter og rettigheter i utdannings- og arbeidslivet</w:t>
            </w:r>
            <w:r>
              <w:t xml:space="preserve"> </w:t>
            </w:r>
            <w:r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032A08BD" wp14:editId="7E9DDFBF">
                  <wp:extent cx="133985" cy="133985"/>
                  <wp:effectExtent l="0" t="0" r="0" b="0"/>
                  <wp:docPr id="1365256733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9E9" w:rsidRPr="00335EBE" w14:paraId="69727268" w14:textId="77777777" w:rsidTr="009C4DFF">
        <w:tc>
          <w:tcPr>
            <w:tcW w:w="9062" w:type="dxa"/>
            <w:shd w:val="clear" w:color="auto" w:fill="B3E5A1" w:themeFill="accent6" w:themeFillTint="66"/>
          </w:tcPr>
          <w:p w14:paraId="0B4176AD" w14:textId="77777777" w:rsidR="00B839E9" w:rsidRPr="00335EBE" w:rsidRDefault="00B839E9" w:rsidP="009C4DFF">
            <w:pPr>
              <w:rPr>
                <w:b/>
                <w:bCs/>
                <w:color w:val="303030"/>
              </w:rPr>
            </w:pPr>
            <w:r w:rsidRPr="00335EBE">
              <w:rPr>
                <w:b/>
                <w:bCs/>
              </w:rPr>
              <w:t xml:space="preserve">Kjerne: </w:t>
            </w:r>
            <w:r w:rsidRPr="000A2A64">
              <w:rPr>
                <w:rFonts w:eastAsia="Times New Roman" w:cs="Arial"/>
                <w:b/>
                <w:bCs/>
                <w:color w:val="303030"/>
                <w:lang w:eastAsia="nb-NO"/>
              </w:rPr>
              <w:t>Språklæring i samfunnsfag</w:t>
            </w:r>
          </w:p>
        </w:tc>
      </w:tr>
      <w:tr w:rsidR="00B839E9" w:rsidRPr="00335EBE" w14:paraId="4E1DBAFB" w14:textId="77777777" w:rsidTr="009C4DFF">
        <w:tc>
          <w:tcPr>
            <w:tcW w:w="9062" w:type="dxa"/>
          </w:tcPr>
          <w:p w14:paraId="669BFC63" w14:textId="4C1FCFB3" w:rsidR="00B839E9" w:rsidRDefault="00C9123F" w:rsidP="009C4DFF">
            <w:pPr>
              <w:pStyle w:val="Listeavsnitt"/>
              <w:numPr>
                <w:ilvl w:val="0"/>
                <w:numId w:val="3"/>
              </w:numPr>
            </w:pPr>
            <w:r w:rsidRPr="00C9123F">
              <w:t>skrive og fortelle om egne erfaringer fra samfunns- og arbeidsliv</w:t>
            </w:r>
            <w:r w:rsidR="00B839E9">
              <w:rPr>
                <w:rFonts w:eastAsiaTheme="majorEastAsia" w:cs="Arial"/>
                <w:noProof/>
                <w:color w:val="303030"/>
                <w:kern w:val="0"/>
                <w:lang w:eastAsia="nb-NO"/>
                <w14:ligatures w14:val="none"/>
              </w:rPr>
              <w:drawing>
                <wp:inline distT="0" distB="0" distL="0" distR="0" wp14:anchorId="447B67E5" wp14:editId="4D4D86AB">
                  <wp:extent cx="133985" cy="128270"/>
                  <wp:effectExtent l="0" t="0" r="0" b="5080"/>
                  <wp:docPr id="767438667" name="Bild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2E3E6E" w14:textId="6E0E8B79" w:rsidR="00B839E9" w:rsidRPr="000B5893" w:rsidRDefault="00B839E9" w:rsidP="00C9123F">
            <w:pPr>
              <w:pStyle w:val="Listeavsnitt"/>
            </w:pPr>
          </w:p>
        </w:tc>
      </w:tr>
    </w:tbl>
    <w:p w14:paraId="073CE8C2" w14:textId="1085295D" w:rsidR="00112681" w:rsidRPr="002D5A9B" w:rsidRDefault="00112681" w:rsidP="00112681">
      <w:pPr>
        <w:rPr>
          <w:rFonts w:cs="Arial"/>
          <w:b/>
          <w:bCs/>
        </w:rPr>
      </w:pPr>
    </w:p>
    <w:p w14:paraId="57A3B5B5" w14:textId="77777777" w:rsidR="00112681" w:rsidRDefault="00112681" w:rsidP="00112681">
      <w:pPr>
        <w:rPr>
          <w:b/>
          <w:bCs/>
        </w:rPr>
      </w:pPr>
    </w:p>
    <w:p w14:paraId="3E7EC755" w14:textId="257854DD" w:rsidR="00112681" w:rsidRPr="00140D8E" w:rsidRDefault="00112681" w:rsidP="00112681">
      <w:pPr>
        <w:rPr>
          <w:sz w:val="24"/>
          <w:szCs w:val="24"/>
        </w:rPr>
      </w:pPr>
      <w:r w:rsidRPr="00140D8E">
        <w:rPr>
          <w:b/>
          <w:bCs/>
          <w:sz w:val="24"/>
          <w:szCs w:val="24"/>
        </w:rPr>
        <w:t xml:space="preserve">Kjennetegn på måloppnåelse </w:t>
      </w:r>
      <w:r w:rsidR="007D2677">
        <w:rPr>
          <w:b/>
          <w:bCs/>
          <w:sz w:val="24"/>
          <w:szCs w:val="24"/>
        </w:rPr>
        <w:t>samfunnsfag</w:t>
      </w:r>
      <w:r w:rsidRPr="00140D8E">
        <w:rPr>
          <w:b/>
          <w:bCs/>
          <w:sz w:val="24"/>
          <w:szCs w:val="24"/>
        </w:rPr>
        <w:t>, modul 2,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76"/>
        <w:gridCol w:w="3070"/>
        <w:gridCol w:w="3116"/>
      </w:tblGrid>
      <w:tr w:rsidR="00112681" w:rsidRPr="00A73932" w14:paraId="125338CE" w14:textId="77777777" w:rsidTr="00B839E9">
        <w:tc>
          <w:tcPr>
            <w:tcW w:w="2876" w:type="dxa"/>
            <w:shd w:val="clear" w:color="auto" w:fill="E59EDC" w:themeFill="accent5" w:themeFillTint="66"/>
            <w:vAlign w:val="center"/>
          </w:tcPr>
          <w:p w14:paraId="614197A1" w14:textId="4C2E1D10" w:rsidR="00112681" w:rsidRPr="00A73932" w:rsidRDefault="00112681" w:rsidP="00825186">
            <w:pPr>
              <w:spacing w:after="160" w:line="278" w:lineRule="auto"/>
              <w:rPr>
                <w:b/>
                <w:bCs/>
              </w:rPr>
            </w:pPr>
            <w:r w:rsidRPr="00A73932">
              <w:rPr>
                <w:b/>
                <w:bCs/>
              </w:rPr>
              <w:t>Lav kompetanse</w:t>
            </w:r>
          </w:p>
        </w:tc>
        <w:tc>
          <w:tcPr>
            <w:tcW w:w="3071" w:type="dxa"/>
            <w:shd w:val="clear" w:color="auto" w:fill="E59EDC" w:themeFill="accent5" w:themeFillTint="66"/>
            <w:vAlign w:val="center"/>
          </w:tcPr>
          <w:p w14:paraId="68ACD185" w14:textId="7BE87EF5" w:rsidR="00112681" w:rsidRPr="00A73932" w:rsidRDefault="007D2677" w:rsidP="00825186">
            <w:pPr>
              <w:spacing w:after="160" w:line="278" w:lineRule="auto"/>
              <w:rPr>
                <w:b/>
                <w:bCs/>
              </w:rPr>
            </w:pPr>
            <w:r>
              <w:rPr>
                <w:b/>
                <w:bCs/>
              </w:rPr>
              <w:t>God</w:t>
            </w:r>
            <w:r w:rsidR="00112681" w:rsidRPr="00A73932">
              <w:rPr>
                <w:b/>
                <w:bCs/>
              </w:rPr>
              <w:t xml:space="preserve"> kompetanse</w:t>
            </w:r>
          </w:p>
        </w:tc>
        <w:tc>
          <w:tcPr>
            <w:tcW w:w="3115" w:type="dxa"/>
            <w:shd w:val="clear" w:color="auto" w:fill="E59EDC" w:themeFill="accent5" w:themeFillTint="66"/>
            <w:vAlign w:val="center"/>
          </w:tcPr>
          <w:p w14:paraId="0A8E5B5A" w14:textId="054B9EE5" w:rsidR="00112681" w:rsidRPr="00A73932" w:rsidRDefault="00825186" w:rsidP="00825186">
            <w:pPr>
              <w:spacing w:after="160" w:line="278" w:lineRule="auto"/>
              <w:rPr>
                <w:b/>
                <w:bCs/>
              </w:rPr>
            </w:pPr>
            <w:r w:rsidRPr="00A73932">
              <w:rPr>
                <w:b/>
                <w:bCs/>
              </w:rPr>
              <w:t>Høy</w:t>
            </w:r>
            <w:r w:rsidR="00112681" w:rsidRPr="00A73932">
              <w:rPr>
                <w:b/>
                <w:bCs/>
              </w:rPr>
              <w:t xml:space="preserve"> kompetanse</w:t>
            </w:r>
          </w:p>
        </w:tc>
      </w:tr>
      <w:tr w:rsidR="00B839E9" w:rsidRPr="00B839E9" w14:paraId="77DBCEE2" w14:textId="77777777" w:rsidTr="00B839E9">
        <w:tc>
          <w:tcPr>
            <w:tcW w:w="0" w:type="auto"/>
            <w:hideMark/>
          </w:tcPr>
          <w:p w14:paraId="539B3640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047D080D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noen trekk ved</w:t>
            </w:r>
          </w:p>
          <w:p w14:paraId="4BAA832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demokratiet, og</w:t>
            </w:r>
          </w:p>
          <w:p w14:paraId="67777F3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menneskets rett til</w:t>
            </w:r>
          </w:p>
          <w:p w14:paraId="6E580BFD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frie og likeverdige liv. </w:t>
            </w:r>
          </w:p>
        </w:tc>
        <w:tc>
          <w:tcPr>
            <w:tcW w:w="0" w:type="auto"/>
            <w:hideMark/>
          </w:tcPr>
          <w:p w14:paraId="42D0CCC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på en</w:t>
            </w:r>
          </w:p>
          <w:p w14:paraId="5F4D402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noen sider ved</w:t>
            </w:r>
          </w:p>
          <w:p w14:paraId="31A382D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demokratiet i Norge, og</w:t>
            </w:r>
          </w:p>
          <w:p w14:paraId="68DF6E69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menneskets rett til frie og</w:t>
            </w:r>
          </w:p>
          <w:p w14:paraId="5E9B991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likeverdige liv. </w:t>
            </w:r>
          </w:p>
        </w:tc>
        <w:tc>
          <w:tcPr>
            <w:tcW w:w="0" w:type="auto"/>
            <w:hideMark/>
          </w:tcPr>
          <w:p w14:paraId="124D1D97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på en</w:t>
            </w:r>
          </w:p>
          <w:p w14:paraId="3374E49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demokratiet i</w:t>
            </w:r>
          </w:p>
          <w:p w14:paraId="2672AB02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Norge, og samtaler med</w:t>
            </w:r>
          </w:p>
          <w:p w14:paraId="18173502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menneskets</w:t>
            </w:r>
          </w:p>
          <w:p w14:paraId="4D5959EE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rett til frie og likeverdige liv. </w:t>
            </w:r>
          </w:p>
        </w:tc>
      </w:tr>
      <w:tr w:rsidR="00B839E9" w:rsidRPr="00B839E9" w14:paraId="11DB4564" w14:textId="77777777" w:rsidTr="00B839E9">
        <w:tc>
          <w:tcPr>
            <w:tcW w:w="0" w:type="auto"/>
            <w:hideMark/>
          </w:tcPr>
          <w:p w14:paraId="469CA29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0217849C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forhold som</w:t>
            </w:r>
          </w:p>
          <w:p w14:paraId="5B46F5C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påvirker relasjoner</w:t>
            </w:r>
          </w:p>
          <w:p w14:paraId="4C502B2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mennesker.  </w:t>
            </w:r>
          </w:p>
        </w:tc>
        <w:tc>
          <w:tcPr>
            <w:tcW w:w="0" w:type="auto"/>
            <w:hideMark/>
          </w:tcPr>
          <w:p w14:paraId="3A94C080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77A9CAF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noen forhold</w:t>
            </w:r>
          </w:p>
          <w:p w14:paraId="47DC1EC0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påvirker relasjoner</w:t>
            </w:r>
          </w:p>
          <w:p w14:paraId="62948E6E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mellom mennesker. </w:t>
            </w:r>
          </w:p>
        </w:tc>
        <w:tc>
          <w:tcPr>
            <w:tcW w:w="0" w:type="auto"/>
            <w:hideMark/>
          </w:tcPr>
          <w:p w14:paraId="7828F444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562FBA8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forhold som påvirker</w:t>
            </w:r>
          </w:p>
          <w:p w14:paraId="0013C78E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relasjoner mellom mennesker.  </w:t>
            </w:r>
          </w:p>
        </w:tc>
      </w:tr>
      <w:tr w:rsidR="00B839E9" w:rsidRPr="00B839E9" w14:paraId="0BEE0556" w14:textId="77777777" w:rsidTr="00B839E9">
        <w:tc>
          <w:tcPr>
            <w:tcW w:w="0" w:type="auto"/>
            <w:hideMark/>
          </w:tcPr>
          <w:p w14:paraId="2401C6A7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732EB413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noen trekk ved</w:t>
            </w:r>
          </w:p>
          <w:p w14:paraId="61BF287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norsk skole og arbeidsliv.   </w:t>
            </w:r>
          </w:p>
        </w:tc>
        <w:tc>
          <w:tcPr>
            <w:tcW w:w="0" w:type="auto"/>
            <w:hideMark/>
          </w:tcPr>
          <w:p w14:paraId="7D818A0B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beskriver noen</w:t>
            </w:r>
          </w:p>
          <w:p w14:paraId="6D99B623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trekk ved norsk utdanning</w:t>
            </w:r>
          </w:p>
          <w:p w14:paraId="3CED5D84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arbeidsliv, og samtaler</w:t>
            </w:r>
          </w:p>
          <w:p w14:paraId="7929741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støtte om muligheter</w:t>
            </w:r>
          </w:p>
          <w:p w14:paraId="46572F62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 arbeid i Norge.   </w:t>
            </w:r>
          </w:p>
        </w:tc>
        <w:tc>
          <w:tcPr>
            <w:tcW w:w="0" w:type="auto"/>
            <w:hideMark/>
          </w:tcPr>
          <w:p w14:paraId="19C18FDB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om</w:t>
            </w:r>
          </w:p>
          <w:p w14:paraId="31B88273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sentrale trekk ved</w:t>
            </w:r>
          </w:p>
          <w:p w14:paraId="0E7150F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norsk utdanning og</w:t>
            </w:r>
          </w:p>
          <w:p w14:paraId="2C3BEFBE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arbeidsliv, og utforsker</w:t>
            </w:r>
          </w:p>
          <w:p w14:paraId="126927F7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muligheter for arbeid</w:t>
            </w:r>
          </w:p>
          <w:p w14:paraId="672EDD5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i Norge.   </w:t>
            </w:r>
          </w:p>
        </w:tc>
      </w:tr>
      <w:tr w:rsidR="00B839E9" w:rsidRPr="00B839E9" w14:paraId="1574E6B6" w14:textId="77777777" w:rsidTr="00B839E9">
        <w:tc>
          <w:tcPr>
            <w:tcW w:w="0" w:type="auto"/>
            <w:hideMark/>
          </w:tcPr>
          <w:p w14:paraId="454F669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gir eksempler på</w:t>
            </w:r>
          </w:p>
          <w:p w14:paraId="121FB17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valg og handlinger</w:t>
            </w:r>
          </w:p>
          <w:p w14:paraId="64E79FFB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kan bidra til et mer</w:t>
            </w:r>
          </w:p>
          <w:p w14:paraId="24F14F2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bærekraftig samfunn.  </w:t>
            </w:r>
          </w:p>
        </w:tc>
        <w:tc>
          <w:tcPr>
            <w:tcW w:w="0" w:type="auto"/>
            <w:hideMark/>
          </w:tcPr>
          <w:p w14:paraId="58766561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forteller på en</w:t>
            </w:r>
          </w:p>
          <w:p w14:paraId="511C2EC0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 måte om noen valg</w:t>
            </w:r>
          </w:p>
          <w:p w14:paraId="413A66E6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handlinger som kan</w:t>
            </w:r>
          </w:p>
          <w:p w14:paraId="788A55A6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bidra til et mer</w:t>
            </w:r>
          </w:p>
          <w:p w14:paraId="6E04C82C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bærekraftig samfunn.</w:t>
            </w:r>
          </w:p>
        </w:tc>
        <w:tc>
          <w:tcPr>
            <w:tcW w:w="0" w:type="auto"/>
            <w:hideMark/>
          </w:tcPr>
          <w:p w14:paraId="48803E63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7AE64649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valg og</w:t>
            </w:r>
          </w:p>
          <w:p w14:paraId="6F23550E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handlinger som kan</w:t>
            </w:r>
          </w:p>
          <w:p w14:paraId="3982E1B6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bidra til et mer</w:t>
            </w:r>
          </w:p>
          <w:p w14:paraId="6D19E50C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bærekraftig samfunn.  </w:t>
            </w:r>
          </w:p>
        </w:tc>
      </w:tr>
      <w:tr w:rsidR="00B839E9" w:rsidRPr="00B839E9" w14:paraId="0B1DBBC7" w14:textId="77777777" w:rsidTr="00B839E9">
        <w:tc>
          <w:tcPr>
            <w:tcW w:w="0" w:type="auto"/>
            <w:hideMark/>
          </w:tcPr>
          <w:p w14:paraId="40C39694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gir eksempler</w:t>
            </w:r>
          </w:p>
          <w:p w14:paraId="2A748A07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på hvorfor mennesker</w:t>
            </w:r>
          </w:p>
          <w:p w14:paraId="53DFF559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flytter og flykter. </w:t>
            </w:r>
          </w:p>
        </w:tc>
        <w:tc>
          <w:tcPr>
            <w:tcW w:w="0" w:type="auto"/>
            <w:hideMark/>
          </w:tcPr>
          <w:p w14:paraId="51D44A1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samtaler med</w:t>
            </w:r>
          </w:p>
          <w:p w14:paraId="582C6B97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om hvorfor</w:t>
            </w:r>
          </w:p>
          <w:p w14:paraId="3B286203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mennesker flytter</w:t>
            </w:r>
          </w:p>
          <w:p w14:paraId="1744E4FC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flykter.  </w:t>
            </w:r>
          </w:p>
        </w:tc>
        <w:tc>
          <w:tcPr>
            <w:tcW w:w="0" w:type="auto"/>
            <w:hideMark/>
          </w:tcPr>
          <w:p w14:paraId="49114D7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reflekterer med</w:t>
            </w:r>
          </w:p>
          <w:p w14:paraId="37D6D296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 over hvorfor</w:t>
            </w:r>
          </w:p>
          <w:p w14:paraId="475988F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mennesker flytter</w:t>
            </w:r>
          </w:p>
          <w:p w14:paraId="50E8B968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flykter. </w:t>
            </w:r>
          </w:p>
        </w:tc>
      </w:tr>
      <w:tr w:rsidR="00B839E9" w:rsidRPr="00B839E9" w14:paraId="4285EC1B" w14:textId="77777777" w:rsidTr="00B839E9">
        <w:tc>
          <w:tcPr>
            <w:tcW w:w="0" w:type="auto"/>
            <w:hideMark/>
          </w:tcPr>
          <w:p w14:paraId="0EB9717A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B4300ED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egnede kilder med støtte. </w:t>
            </w:r>
          </w:p>
        </w:tc>
        <w:tc>
          <w:tcPr>
            <w:tcW w:w="0" w:type="auto"/>
            <w:hideMark/>
          </w:tcPr>
          <w:p w14:paraId="5487795C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6C47A299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kilder og kart med noe</w:t>
            </w:r>
          </w:p>
          <w:p w14:paraId="1335C22B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støtte, og samtaler på en</w:t>
            </w:r>
          </w:p>
          <w:p w14:paraId="1066A565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 på måte om nettvett.  </w:t>
            </w:r>
          </w:p>
        </w:tc>
        <w:tc>
          <w:tcPr>
            <w:tcW w:w="0" w:type="auto"/>
            <w:hideMark/>
          </w:tcPr>
          <w:p w14:paraId="4CE3C8E4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egnede</w:t>
            </w:r>
          </w:p>
          <w:p w14:paraId="599EAB51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kilder og kart og forteller</w:t>
            </w:r>
          </w:p>
          <w:p w14:paraId="371F301F" w14:textId="77777777" w:rsidR="00B839E9" w:rsidRPr="00B839E9" w:rsidRDefault="00B839E9" w:rsidP="00B839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B839E9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om betydningen av nettvett.  </w:t>
            </w:r>
          </w:p>
        </w:tc>
      </w:tr>
    </w:tbl>
    <w:p w14:paraId="0A994F3B" w14:textId="77777777" w:rsidR="00112681" w:rsidRDefault="00112681" w:rsidP="00112681"/>
    <w:sectPr w:rsidR="001126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4364" w14:textId="77777777" w:rsidR="008C49B9" w:rsidRDefault="008C49B9" w:rsidP="00B868FA">
      <w:pPr>
        <w:spacing w:after="0" w:line="240" w:lineRule="auto"/>
      </w:pPr>
      <w:r>
        <w:separator/>
      </w:r>
    </w:p>
  </w:endnote>
  <w:endnote w:type="continuationSeparator" w:id="0">
    <w:p w14:paraId="04DF72DB" w14:textId="77777777" w:rsidR="008C49B9" w:rsidRDefault="008C49B9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64B0" w14:textId="77777777" w:rsidR="005023EF" w:rsidRDefault="005023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0C5F3214" w:rsidR="00086804" w:rsidRPr="007D2677" w:rsidRDefault="007D2677">
    <w:pPr>
      <w:pStyle w:val="Bunntekst"/>
      <w:rPr>
        <w:sz w:val="20"/>
        <w:szCs w:val="20"/>
      </w:rPr>
    </w:pPr>
    <w:r w:rsidRPr="007D2677">
      <w:rPr>
        <w:sz w:val="20"/>
        <w:szCs w:val="20"/>
      </w:rPr>
      <w:t>Anne Liv Kaarstad Lie</w:t>
    </w:r>
    <w:r>
      <w:rPr>
        <w:sz w:val="20"/>
        <w:szCs w:val="20"/>
      </w:rPr>
      <w:t>, USN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EDF6" w14:textId="77777777" w:rsidR="005023EF" w:rsidRDefault="005023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82CA" w14:textId="77777777" w:rsidR="008C49B9" w:rsidRDefault="008C49B9" w:rsidP="00B868FA">
      <w:pPr>
        <w:spacing w:after="0" w:line="240" w:lineRule="auto"/>
      </w:pPr>
      <w:r>
        <w:separator/>
      </w:r>
    </w:p>
  </w:footnote>
  <w:footnote w:type="continuationSeparator" w:id="0">
    <w:p w14:paraId="0B0AF1B3" w14:textId="77777777" w:rsidR="008C49B9" w:rsidRDefault="008C49B9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5360" w14:textId="77777777" w:rsidR="005023EF" w:rsidRDefault="005023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E0A5" w14:textId="7DC59497" w:rsidR="005023EF" w:rsidRPr="00252F7C" w:rsidRDefault="006E375B" w:rsidP="005023EF">
    <w:pPr>
      <w:pStyle w:val="Bunntekst"/>
      <w:rPr>
        <w:sz w:val="20"/>
        <w:szCs w:val="20"/>
      </w:rPr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2BDE6BBC">
          <wp:simplePos x="0" y="0"/>
          <wp:positionH relativeFrom="margin">
            <wp:posOffset>4824730</wp:posOffset>
          </wp:positionH>
          <wp:positionV relativeFrom="paragraph">
            <wp:posOffset>-49530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188824830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3EF" w:rsidRPr="00252F7C">
      <w:rPr>
        <w:sz w:val="20"/>
        <w:szCs w:val="20"/>
      </w:rPr>
      <w:t xml:space="preserve">Viken Vest - om </w:t>
    </w:r>
    <w:r w:rsidR="005023EF">
      <w:rPr>
        <w:sz w:val="20"/>
        <w:szCs w:val="20"/>
      </w:rPr>
      <w:t xml:space="preserve">FOV og opplæring i NO for voksne innvandrere </w:t>
    </w:r>
  </w:p>
  <w:p w14:paraId="43B62EBF" w14:textId="0AD1C926" w:rsidR="00B868FA" w:rsidRDefault="00B868F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797A" w14:textId="77777777" w:rsidR="005023EF" w:rsidRDefault="005023E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20B7"/>
    <w:multiLevelType w:val="hybridMultilevel"/>
    <w:tmpl w:val="A9280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1FD"/>
    <w:multiLevelType w:val="hybridMultilevel"/>
    <w:tmpl w:val="A8904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811B0"/>
    <w:multiLevelType w:val="hybridMultilevel"/>
    <w:tmpl w:val="E47CFF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34AB7"/>
    <w:multiLevelType w:val="hybridMultilevel"/>
    <w:tmpl w:val="2DE40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119">
    <w:abstractNumId w:val="2"/>
  </w:num>
  <w:num w:numId="2" w16cid:durableId="1247498540">
    <w:abstractNumId w:val="1"/>
  </w:num>
  <w:num w:numId="3" w16cid:durableId="1600603809">
    <w:abstractNumId w:val="3"/>
  </w:num>
  <w:num w:numId="4" w16cid:durableId="1979527027">
    <w:abstractNumId w:val="4"/>
  </w:num>
  <w:num w:numId="5" w16cid:durableId="10306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D47ED"/>
    <w:rsid w:val="000E0758"/>
    <w:rsid w:val="000E0A4E"/>
    <w:rsid w:val="001075D0"/>
    <w:rsid w:val="00112681"/>
    <w:rsid w:val="00135A03"/>
    <w:rsid w:val="001373DB"/>
    <w:rsid w:val="00140D8E"/>
    <w:rsid w:val="001451F7"/>
    <w:rsid w:val="00152496"/>
    <w:rsid w:val="00161DE9"/>
    <w:rsid w:val="001710FC"/>
    <w:rsid w:val="0018199B"/>
    <w:rsid w:val="0018344A"/>
    <w:rsid w:val="00193878"/>
    <w:rsid w:val="001D5572"/>
    <w:rsid w:val="001F3730"/>
    <w:rsid w:val="001F374D"/>
    <w:rsid w:val="001F7F69"/>
    <w:rsid w:val="00234870"/>
    <w:rsid w:val="002531A8"/>
    <w:rsid w:val="002557FA"/>
    <w:rsid w:val="00260C80"/>
    <w:rsid w:val="00285BD5"/>
    <w:rsid w:val="002A0230"/>
    <w:rsid w:val="002B01E0"/>
    <w:rsid w:val="002C5158"/>
    <w:rsid w:val="002D6082"/>
    <w:rsid w:val="003329FD"/>
    <w:rsid w:val="00343C54"/>
    <w:rsid w:val="00360E05"/>
    <w:rsid w:val="00361C37"/>
    <w:rsid w:val="00382E00"/>
    <w:rsid w:val="0038517A"/>
    <w:rsid w:val="00402995"/>
    <w:rsid w:val="00416A8B"/>
    <w:rsid w:val="00422792"/>
    <w:rsid w:val="00425C9C"/>
    <w:rsid w:val="004447A6"/>
    <w:rsid w:val="004C793A"/>
    <w:rsid w:val="005023EF"/>
    <w:rsid w:val="005C7BCA"/>
    <w:rsid w:val="005D5BA3"/>
    <w:rsid w:val="005F61C3"/>
    <w:rsid w:val="005F7041"/>
    <w:rsid w:val="0060260E"/>
    <w:rsid w:val="00634C83"/>
    <w:rsid w:val="00645088"/>
    <w:rsid w:val="00645B2F"/>
    <w:rsid w:val="00682999"/>
    <w:rsid w:val="00691DF8"/>
    <w:rsid w:val="006E375B"/>
    <w:rsid w:val="007C3664"/>
    <w:rsid w:val="007C6DA5"/>
    <w:rsid w:val="007D2677"/>
    <w:rsid w:val="00825186"/>
    <w:rsid w:val="00857E7F"/>
    <w:rsid w:val="008C49B9"/>
    <w:rsid w:val="008E26EB"/>
    <w:rsid w:val="0091732F"/>
    <w:rsid w:val="00933FA9"/>
    <w:rsid w:val="00975557"/>
    <w:rsid w:val="00986430"/>
    <w:rsid w:val="009B1842"/>
    <w:rsid w:val="00A04667"/>
    <w:rsid w:val="00A104B5"/>
    <w:rsid w:val="00A27A52"/>
    <w:rsid w:val="00A61789"/>
    <w:rsid w:val="00A73932"/>
    <w:rsid w:val="00A76B6F"/>
    <w:rsid w:val="00AA22FC"/>
    <w:rsid w:val="00AB3271"/>
    <w:rsid w:val="00AF4B7E"/>
    <w:rsid w:val="00B1381B"/>
    <w:rsid w:val="00B177BB"/>
    <w:rsid w:val="00B839E9"/>
    <w:rsid w:val="00B868FA"/>
    <w:rsid w:val="00BB37DD"/>
    <w:rsid w:val="00BC7A9C"/>
    <w:rsid w:val="00BE01BC"/>
    <w:rsid w:val="00C34539"/>
    <w:rsid w:val="00C44C93"/>
    <w:rsid w:val="00C9123F"/>
    <w:rsid w:val="00CE31FD"/>
    <w:rsid w:val="00CE358A"/>
    <w:rsid w:val="00CE6E4C"/>
    <w:rsid w:val="00D35F38"/>
    <w:rsid w:val="00D550A6"/>
    <w:rsid w:val="00D65F53"/>
    <w:rsid w:val="00D717BD"/>
    <w:rsid w:val="00DA5F21"/>
    <w:rsid w:val="00DC0D7C"/>
    <w:rsid w:val="00DD084B"/>
    <w:rsid w:val="00DD2D1B"/>
    <w:rsid w:val="00DE065B"/>
    <w:rsid w:val="00E10B89"/>
    <w:rsid w:val="00E45CA4"/>
    <w:rsid w:val="00E80EC9"/>
    <w:rsid w:val="00F136EC"/>
    <w:rsid w:val="00F33517"/>
    <w:rsid w:val="00F34EC4"/>
    <w:rsid w:val="00F5158B"/>
    <w:rsid w:val="00F67884"/>
    <w:rsid w:val="00F7309B"/>
    <w:rsid w:val="00FB60C2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373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saf03-01/kompetansemaal-og-vurdering/kv831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saf03-01/kompetansemaal-og-vurdering/kv831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1195</Words>
  <Characters>6338</Characters>
  <Application>Microsoft Office Word</Application>
  <DocSecurity>0</DocSecurity>
  <Lines>52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18</cp:revision>
  <cp:lastPrinted>2026-03-30T09:14:00Z</cp:lastPrinted>
  <dcterms:created xsi:type="dcterms:W3CDTF">2026-04-22T08:30:00Z</dcterms:created>
  <dcterms:modified xsi:type="dcterms:W3CDTF">2026-07-09T05:30:00Z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